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E8920A"/>
          <w:sz w:val="18"/>
          <w:szCs w:val="18"/>
        </w:rPr>
        <w:t xml:space="preserve">TRANSFERAI AFRICA · CAS D'USAGE STRATÉGIQUE</w:t>
      </w:r>
    </w:p>
    <w:p>
      <w:pPr>
        <w:spacing w:after="100"/>
      </w:pPr>
      <w:r>
        <w:rPr>
          <w:b/>
          <w:bCs/>
          <w:color w:val="10263F"/>
          <w:sz w:val="52"/>
          <w:szCs w:val="52"/>
        </w:rPr>
        <w:t xml:space="preserve">Support IT Intelligent</w:t>
      </w:r>
    </w:p>
    <w:p>
      <w:pPr>
        <w:spacing w:after="260"/>
      </w:pPr>
      <w:r>
        <w:rPr>
          <w:i/>
          <w:iCs/>
          <w:color w:val="5A6472"/>
          <w:sz w:val="23"/>
          <w:szCs w:val="23"/>
        </w:rPr>
        <w:t xml:space="preserve">Guide utilisateur — Triage automatique des tickets IT par intelligence artificielle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tcBorders>
              <w:top w:val="none"/>
              <w:left w:val="none"/>
              <w:bottom w:val="none"/>
              <w:right w:val="none"/>
            </w:tcBorders>
            <w:tcMar>
              <w:top w:type="dxa" w:w="60"/>
              <w:left w:type="dxa" w:w="60"/>
              <w:bottom w:type="dxa" w:w="60"/>
              <w:right w:type="dxa" w:w="60"/>
            </w:tcMar>
          </w:tcPr>
          <w:p>
            <w:pPr>
              <w:spacing w:after="40"/>
            </w:pPr>
            <w:r>
              <w:rPr>
                <w:b/>
                <w:bCs/>
                <w:color w:val="5A6472"/>
                <w:sz w:val="15"/>
                <w:szCs w:val="15"/>
              </w:rPr>
              <w:t xml:space="preserve">SECTEUR CIBLE</w:t>
            </w:r>
          </w:p>
          <w:p>
            <w:r>
              <w:rPr>
                <w:b/>
                <w:bCs/>
                <w:color w:val="10263F"/>
                <w:sz w:val="19"/>
                <w:szCs w:val="19"/>
              </w:rPr>
              <w:t xml:space="preserve">IT &amp; Transformation Digitale</w:t>
            </w:r>
          </w:p>
        </w:tc>
        <w:tc>
          <w:tcPr>
            <w:tcW w:type="dxa" w:w="2520"/>
            <w:tcBorders>
              <w:top w:val="none"/>
              <w:left w:val="none"/>
              <w:bottom w:val="none"/>
              <w:right w:val="none"/>
            </w:tcBorders>
            <w:tcMar>
              <w:top w:type="dxa" w:w="60"/>
              <w:left w:type="dxa" w:w="60"/>
              <w:bottom w:type="dxa" w:w="60"/>
              <w:right w:type="dxa" w:w="60"/>
            </w:tcMar>
          </w:tcPr>
          <w:p>
            <w:pPr>
              <w:spacing w:after="40"/>
            </w:pPr>
            <w:r>
              <w:rPr>
                <w:b/>
                <w:bCs/>
                <w:color w:val="5A6472"/>
                <w:sz w:val="15"/>
                <w:szCs w:val="15"/>
              </w:rPr>
              <w:t xml:space="preserve">AUDIENCE</w:t>
            </w:r>
          </w:p>
          <w:p>
            <w:r>
              <w:rPr>
                <w:b/>
                <w:bCs/>
                <w:color w:val="10263F"/>
                <w:sz w:val="19"/>
                <w:szCs w:val="19"/>
              </w:rPr>
              <w:t xml:space="preserve">DSI · PMO · Innovation</w:t>
            </w:r>
          </w:p>
        </w:tc>
        <w:tc>
          <w:tcPr>
            <w:tcW w:type="dxa" w:w="2520"/>
            <w:tcBorders>
              <w:top w:val="none"/>
              <w:left w:val="none"/>
              <w:bottom w:val="none"/>
              <w:right w:val="none"/>
            </w:tcBorders>
            <w:tcMar>
              <w:top w:type="dxa" w:w="60"/>
              <w:left w:type="dxa" w:w="60"/>
              <w:bottom w:type="dxa" w:w="60"/>
              <w:right w:type="dxa" w:w="60"/>
            </w:tcMar>
          </w:tcPr>
          <w:p>
            <w:pPr>
              <w:spacing w:after="40"/>
            </w:pPr>
            <w:r>
              <w:rPr>
                <w:b/>
                <w:bCs/>
                <w:color w:val="5A6472"/>
                <w:sz w:val="15"/>
                <w:szCs w:val="15"/>
              </w:rPr>
              <w:t xml:space="preserve">FORMAT</w:t>
            </w:r>
          </w:p>
          <w:p>
            <w:r>
              <w:rPr>
                <w:b/>
                <w:bCs/>
                <w:color w:val="10263F"/>
                <w:sz w:val="19"/>
                <w:szCs w:val="19"/>
              </w:rPr>
              <w:t xml:space="preserve">Démonstration live</w:t>
            </w:r>
          </w:p>
        </w:tc>
        <w:tc>
          <w:tcPr>
            <w:tcW w:type="dxa" w:w="2520"/>
            <w:tcBorders>
              <w:top w:val="none"/>
              <w:left w:val="none"/>
              <w:bottom w:val="none"/>
              <w:right w:val="none"/>
            </w:tcBorders>
            <w:tcMar>
              <w:top w:type="dxa" w:w="60"/>
              <w:left w:type="dxa" w:w="60"/>
              <w:bottom w:type="dxa" w:w="60"/>
              <w:right w:type="dxa" w:w="60"/>
            </w:tcMar>
          </w:tcPr>
          <w:p>
            <w:pPr>
              <w:spacing w:after="40"/>
            </w:pPr>
            <w:r>
              <w:rPr>
                <w:b/>
                <w:bCs/>
                <w:color w:val="5A6472"/>
                <w:sz w:val="15"/>
                <w:szCs w:val="15"/>
              </w:rPr>
              <w:t xml:space="preserve">MISE EN ŒUVRE</w:t>
            </w:r>
          </w:p>
          <w:p>
            <w:r>
              <w:rPr>
                <w:b/>
                <w:bCs/>
                <w:color w:val="10263F"/>
                <w:sz w:val="19"/>
                <w:szCs w:val="19"/>
              </w:rPr>
              <w:t xml:space="preserve">4 à 8 semaines</w:t>
            </w:r>
          </w:p>
        </w:tc>
      </w:tr>
    </w:tbl>
    <w:p>
      <w:pPr>
        <w:spacing w:after="0" w:before="300"/>
      </w:pPr>
    </w:p>
    <w:p>
      <w:pPr>
        <w:pBdr>
          <w:bottom w:val="single" w:color="10263F" w:sz="6" w:space="1"/>
        </w:pBdr>
        <w:spacing w:after="200" w:before="60"/>
      </w:pPr>
    </w:p>
    <w:p>
      <w:pPr>
        <w:pStyle w:val="Heading1"/>
      </w:pPr>
      <w:r>
        <w:t xml:space="preserve">1. Présentation de la solution</w:t>
      </w:r>
    </w:p>
    <w:p>
      <w:pPr>
        <w:spacing w:after="160" w:before="0"/>
      </w:pPr>
      <w:r>
        <w:rPr>
          <w:sz w:val="21"/>
          <w:szCs w:val="21"/>
        </w:rPr>
        <w:t xml:space="preserve">Support IT Intelligent automatise le cycle de vie complet d'un ticket informatique : réception multicanal, diagnostic par intelligence artificielle, résolution automatique ou escalade vers le bon technicien, et suivi des délais de résolution (SLA).</w:t>
      </w:r>
    </w:p>
    <w:p>
      <w:pPr>
        <w:spacing w:after="160" w:before="0"/>
      </w:pPr>
      <w:r>
        <w:rPr>
          <w:sz w:val="21"/>
          <w:szCs w:val="21"/>
        </w:rPr>
        <w:t xml:space="preserve">L'objectif n'est pas de remplacer l'équipe support, mais de lui donner les moyens de traiter un volume de tickets nettement supérieur, sans effectif additionnel, en réservant le temps humain aux cas qui le justifient réellement.</w:t>
      </w:r>
    </w:p>
    <w:p>
      <w:pPr>
        <w:pStyle w:val="Heading1"/>
      </w:pPr>
      <w:r>
        <w:t xml:space="preserve">2. Comment fonctionne le workflow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tblHeader/>
        </w:trPr>
        <w:tc>
          <w:tcPr>
            <w:tcW w:type="dxa" w:w="2822"/>
            <w:tcBorders>
              <w:top w:val="single" w:color="D9DEE4" w:sz="2"/>
              <w:left w:val="single" w:color="D9DEE4" w:sz="2"/>
              <w:bottom w:val="single" w:color="D9DEE4" w:sz="2"/>
              <w:right w:val="single" w:color="D9DEE4" w:sz="2"/>
            </w:tcBorders>
            <w:shd w:fill="10263F" w:val="clear"/>
            <w:tcMar>
              <w:top w:type="dxa" w:w="100"/>
              <w:left w:type="dxa" w:w="140"/>
              <w:bottom w:type="dxa" w:w="100"/>
              <w:right w:type="dxa" w:w="140"/>
            </w:tcMar>
            <w:vAlign w:val="center"/>
          </w:tcPr>
          <w:p>
            <w:r>
              <w:rPr>
                <w:b/>
                <w:bCs/>
                <w:color w:val="FFFFFF"/>
                <w:sz w:val="19"/>
                <w:szCs w:val="19"/>
              </w:rPr>
              <w:t xml:space="preserve">Étape</w:t>
            </w:r>
          </w:p>
        </w:tc>
        <w:tc>
          <w:tcPr>
            <w:tcW w:type="dxa" w:w="7258"/>
            <w:tcBorders>
              <w:top w:val="single" w:color="D9DEE4" w:sz="2"/>
              <w:left w:val="single" w:color="D9DEE4" w:sz="2"/>
              <w:bottom w:val="single" w:color="D9DEE4" w:sz="2"/>
              <w:right w:val="single" w:color="D9DEE4" w:sz="2"/>
            </w:tcBorders>
            <w:shd w:fill="10263F" w:val="clear"/>
            <w:tcMar>
              <w:top w:type="dxa" w:w="100"/>
              <w:left w:type="dxa" w:w="140"/>
              <w:bottom w:type="dxa" w:w="100"/>
              <w:right w:type="dxa" w:w="140"/>
            </w:tcMar>
            <w:vAlign w:val="center"/>
          </w:tcPr>
          <w:p>
            <w:r>
              <w:rPr>
                <w:b/>
                <w:bCs/>
                <w:color w:val="FFFFFF"/>
                <w:sz w:val="19"/>
                <w:szCs w:val="19"/>
              </w:rPr>
              <w:t xml:space="preserve">Description</w:t>
            </w:r>
          </w:p>
        </w:tc>
      </w:tr>
      <w:tr>
        <w:tc>
          <w:tcPr>
            <w:tcW w:type="dxa" w:w="2822"/>
            <w:tcBorders>
              <w:top w:val="single" w:color="D9DEE4" w:sz="2"/>
              <w:left w:val="single" w:color="D9DEE4" w:sz="2"/>
              <w:bottom w:val="single" w:color="D9DEE4" w:sz="2"/>
              <w:right w:val="single" w:color="D9DEE4" w:sz="2"/>
            </w:tcBorders>
            <w:shd w:fill="FFFFFF" w:val="clear"/>
            <w:tcMar>
              <w:top w:type="dxa" w:w="90"/>
              <w:left w:type="dxa" w:w="140"/>
              <w:bottom w:type="dxa" w:w="90"/>
              <w:right w:type="dxa" w:w="140"/>
            </w:tcMar>
            <w:vAlign w:val="center"/>
          </w:tcPr>
          <w:p>
            <w:r>
              <w:rPr>
                <w:b/>
                <w:bCs/>
                <w:sz w:val="19"/>
                <w:szCs w:val="19"/>
              </w:rPr>
              <w:t xml:space="preserve">1. Réception du ticket</w:t>
            </w:r>
          </w:p>
        </w:tc>
        <w:tc>
          <w:tcPr>
            <w:tcW w:type="dxa" w:w="7258"/>
            <w:tcBorders>
              <w:top w:val="single" w:color="D9DEE4" w:sz="2"/>
              <w:left w:val="single" w:color="D9DEE4" w:sz="2"/>
              <w:bottom w:val="single" w:color="D9DEE4" w:sz="2"/>
              <w:right w:val="single" w:color="D9DEE4" w:sz="2"/>
            </w:tcBorders>
            <w:shd w:fill="FFFFFF" w:val="clear"/>
            <w:tcMar>
              <w:top w:type="dxa" w:w="90"/>
              <w:left w:type="dxa" w:w="140"/>
              <w:bottom w:type="dxa" w:w="90"/>
              <w:right w:type="dxa" w:w="140"/>
            </w:tcMar>
            <w:vAlign w:val="center"/>
          </w:tcPr>
          <w:p>
            <w:r>
              <w:rPr>
                <w:b w:val="false"/>
                <w:bCs w:val="false"/>
                <w:sz w:val="19"/>
                <w:szCs w:val="19"/>
              </w:rPr>
              <w:t xml:space="preserve">Le ticket est soumis via le canal de l'utilisateur (portail web, email, Teams, WhatsApp) et normalisé automatiquement : identité, sujet, description, urgence déclarée.</w:t>
            </w:r>
          </w:p>
        </w:tc>
      </w:tr>
      <w:tr>
        <w:tc>
          <w:tcPr>
            <w:tcW w:type="dxa" w:w="2822"/>
            <w:tcBorders>
              <w:top w:val="single" w:color="D9DEE4" w:sz="2"/>
              <w:left w:val="single" w:color="D9DEE4" w:sz="2"/>
              <w:bottom w:val="single" w:color="D9DEE4" w:sz="2"/>
              <w:right w:val="single" w:color="D9DEE4" w:sz="2"/>
            </w:tcBorders>
            <w:shd w:fill="F4F6F8" w:val="clear"/>
            <w:tcMar>
              <w:top w:type="dxa" w:w="90"/>
              <w:left w:type="dxa" w:w="140"/>
              <w:bottom w:type="dxa" w:w="90"/>
              <w:right w:type="dxa" w:w="140"/>
            </w:tcMar>
            <w:vAlign w:val="center"/>
          </w:tcPr>
          <w:p>
            <w:r>
              <w:rPr>
                <w:b/>
                <w:bCs/>
                <w:sz w:val="19"/>
                <w:szCs w:val="19"/>
              </w:rPr>
              <w:t xml:space="preserve">2. Diagnostic IA</w:t>
            </w:r>
          </w:p>
        </w:tc>
        <w:tc>
          <w:tcPr>
            <w:tcW w:type="dxa" w:w="7258"/>
            <w:tcBorders>
              <w:top w:val="single" w:color="D9DEE4" w:sz="2"/>
              <w:left w:val="single" w:color="D9DEE4" w:sz="2"/>
              <w:bottom w:val="single" w:color="D9DEE4" w:sz="2"/>
              <w:right w:val="single" w:color="D9DEE4" w:sz="2"/>
            </w:tcBorders>
            <w:shd w:fill="F4F6F8" w:val="clear"/>
            <w:tcMar>
              <w:top w:type="dxa" w:w="90"/>
              <w:left w:type="dxa" w:w="140"/>
              <w:bottom w:type="dxa" w:w="90"/>
              <w:right w:type="dxa" w:w="140"/>
            </w:tcMar>
            <w:vAlign w:val="center"/>
          </w:tcPr>
          <w:p>
            <w:r>
              <w:rPr>
                <w:b w:val="false"/>
                <w:bCs w:val="false"/>
                <w:sz w:val="19"/>
                <w:szCs w:val="19"/>
              </w:rPr>
              <w:t xml:space="preserve">Un modèle GPT-4o analyse le ticket et détermine la catégorie (réseau, sécurité, matériel, logiciel, accès, etc.), la criticité (P1 à P4) et un score de confiance sur la fiabilité de sa proposition de résolution.</w:t>
            </w:r>
          </w:p>
        </w:tc>
      </w:tr>
      <w:tr>
        <w:tc>
          <w:tcPr>
            <w:tcW w:type="dxa" w:w="2822"/>
            <w:tcBorders>
              <w:top w:val="single" w:color="D9DEE4" w:sz="2"/>
              <w:left w:val="single" w:color="D9DEE4" w:sz="2"/>
              <w:bottom w:val="single" w:color="D9DEE4" w:sz="2"/>
              <w:right w:val="single" w:color="D9DEE4" w:sz="2"/>
            </w:tcBorders>
            <w:shd w:fill="FFFFFF" w:val="clear"/>
            <w:tcMar>
              <w:top w:type="dxa" w:w="90"/>
              <w:left w:type="dxa" w:w="140"/>
              <w:bottom w:type="dxa" w:w="90"/>
              <w:right w:type="dxa" w:w="140"/>
            </w:tcMar>
            <w:vAlign w:val="center"/>
          </w:tcPr>
          <w:p>
            <w:r>
              <w:rPr>
                <w:b/>
                <w:bCs/>
                <w:sz w:val="19"/>
                <w:szCs w:val="19"/>
              </w:rPr>
              <w:t xml:space="preserve">3. Résolution automatique ou escalade</w:t>
            </w:r>
          </w:p>
        </w:tc>
        <w:tc>
          <w:tcPr>
            <w:tcW w:type="dxa" w:w="7258"/>
            <w:tcBorders>
              <w:top w:val="single" w:color="D9DEE4" w:sz="2"/>
              <w:left w:val="single" w:color="D9DEE4" w:sz="2"/>
              <w:bottom w:val="single" w:color="D9DEE4" w:sz="2"/>
              <w:right w:val="single" w:color="D9DEE4" w:sz="2"/>
            </w:tcBorders>
            <w:shd w:fill="FFFFFF" w:val="clear"/>
            <w:tcMar>
              <w:top w:type="dxa" w:w="90"/>
              <w:left w:type="dxa" w:w="140"/>
              <w:bottom w:type="dxa" w:w="90"/>
              <w:right w:type="dxa" w:w="140"/>
            </w:tcMar>
            <w:vAlign w:val="center"/>
          </w:tcPr>
          <w:p>
            <w:r>
              <w:rPr>
                <w:b w:val="false"/>
                <w:bCs w:val="false"/>
                <w:sz w:val="19"/>
                <w:szCs w:val="19"/>
              </w:rPr>
              <w:t xml:space="preserve">Si le score de confiance dépasse le seuil retenu (85 %), une réponse de résolution est envoyée directement à l'utilisateur. En dessous de ce seuil, le ticket est escaladé : l'utilisateur reçoit un accusé de réception avec le délai cible, et un brief de diagnostic détaillé est transmis au technicien compétent.</w:t>
            </w:r>
          </w:p>
        </w:tc>
      </w:tr>
      <w:tr>
        <w:tc>
          <w:tcPr>
            <w:tcW w:type="dxa" w:w="2822"/>
            <w:tcBorders>
              <w:top w:val="single" w:color="D9DEE4" w:sz="2"/>
              <w:left w:val="single" w:color="D9DEE4" w:sz="2"/>
              <w:bottom w:val="single" w:color="D9DEE4" w:sz="2"/>
              <w:right w:val="single" w:color="D9DEE4" w:sz="2"/>
            </w:tcBorders>
            <w:shd w:fill="F4F6F8" w:val="clear"/>
            <w:tcMar>
              <w:top w:type="dxa" w:w="90"/>
              <w:left w:type="dxa" w:w="140"/>
              <w:bottom w:type="dxa" w:w="90"/>
              <w:right w:type="dxa" w:w="140"/>
            </w:tcMar>
            <w:vAlign w:val="center"/>
          </w:tcPr>
          <w:p>
            <w:r>
              <w:rPr>
                <w:b/>
                <w:bCs/>
                <w:sz w:val="19"/>
                <w:szCs w:val="19"/>
              </w:rPr>
              <w:t xml:space="preserve">4. Suivi SLA</w:t>
            </w:r>
          </w:p>
        </w:tc>
        <w:tc>
          <w:tcPr>
            <w:tcW w:type="dxa" w:w="7258"/>
            <w:tcBorders>
              <w:top w:val="single" w:color="D9DEE4" w:sz="2"/>
              <w:left w:val="single" w:color="D9DEE4" w:sz="2"/>
              <w:bottom w:val="single" w:color="D9DEE4" w:sz="2"/>
              <w:right w:val="single" w:color="D9DEE4" w:sz="2"/>
            </w:tcBorders>
            <w:shd w:fill="F4F6F8" w:val="clear"/>
            <w:tcMar>
              <w:top w:type="dxa" w:w="90"/>
              <w:left w:type="dxa" w:w="140"/>
              <w:bottom w:type="dxa" w:w="90"/>
              <w:right w:type="dxa" w:w="140"/>
            </w:tcMar>
            <w:vAlign w:val="center"/>
          </w:tcPr>
          <w:p>
            <w:r>
              <w:rPr>
                <w:b w:val="false"/>
                <w:bCs w:val="false"/>
                <w:sz w:val="19"/>
                <w:szCs w:val="19"/>
              </w:rPr>
              <w:t xml:space="preserve">Chaque ticket se voit attribuer un délai de résolution cible selon sa criticité (de 1 heure pour les incidents critiques à 24 heures pour les demandes non urgentes), avec traçabilité complète de l'échéance.</w:t>
            </w:r>
          </w:p>
        </w:tc>
      </w:tr>
    </w:tbl>
    <w:p>
      <w:pPr>
        <w:pStyle w:val="Heading1"/>
      </w:pPr>
      <w:r>
        <w:t xml:space="preserve">3. Objectifs de performance visés</w:t>
      </w:r>
    </w:p>
    <w:p>
      <w:pPr>
        <w:spacing w:after="160" w:before="0"/>
      </w:pPr>
      <w:r>
        <w:rPr>
          <w:i/>
          <w:iCs/>
          <w:color w:val="5A6472"/>
          <w:sz w:val="19"/>
          <w:szCs w:val="19"/>
        </w:rPr>
        <w:t xml:space="preserve">Les ordres de grandeur ci-dessous correspondent aux objectifs visés par ce type de déploiement sur un périmètre pilote (50 à 200 tickets/mois) ; ils sont à confirmer et affiner avec les données réelles du client une fois le pilote lancé.</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250"/>
        <w:gridCol w:w="3830"/>
      </w:tblGrid>
      <w:tr>
        <w:trPr>
          <w:tblHeader/>
        </w:trPr>
        <w:tc>
          <w:tcPr>
            <w:tcW w:type="dxa" w:w="6250"/>
            <w:tcBorders>
              <w:top w:val="single" w:color="D9DEE4" w:sz="2"/>
              <w:left w:val="single" w:color="D9DEE4" w:sz="2"/>
              <w:bottom w:val="single" w:color="D9DEE4" w:sz="2"/>
              <w:right w:val="single" w:color="D9DEE4" w:sz="2"/>
            </w:tcBorders>
            <w:shd w:fill="10263F" w:val="clear"/>
            <w:tcMar>
              <w:top w:type="dxa" w:w="100"/>
              <w:left w:type="dxa" w:w="140"/>
              <w:bottom w:type="dxa" w:w="100"/>
              <w:right w:type="dxa" w:w="140"/>
            </w:tcMar>
            <w:vAlign w:val="center"/>
          </w:tcPr>
          <w:p>
            <w:r>
              <w:rPr>
                <w:b/>
                <w:bCs/>
                <w:color w:val="FFFFFF"/>
                <w:sz w:val="19"/>
                <w:szCs w:val="19"/>
              </w:rPr>
              <w:t xml:space="preserve">Indicateur</w:t>
            </w:r>
          </w:p>
        </w:tc>
        <w:tc>
          <w:tcPr>
            <w:tcW w:type="dxa" w:w="3830"/>
            <w:tcBorders>
              <w:top w:val="single" w:color="D9DEE4" w:sz="2"/>
              <w:left w:val="single" w:color="D9DEE4" w:sz="2"/>
              <w:bottom w:val="single" w:color="D9DEE4" w:sz="2"/>
              <w:right w:val="single" w:color="D9DEE4" w:sz="2"/>
            </w:tcBorders>
            <w:shd w:fill="10263F" w:val="clear"/>
            <w:tcMar>
              <w:top w:type="dxa" w:w="100"/>
              <w:left w:type="dxa" w:w="140"/>
              <w:bottom w:type="dxa" w:w="100"/>
              <w:right w:type="dxa" w:w="140"/>
            </w:tcMar>
            <w:vAlign w:val="center"/>
          </w:tcPr>
          <w:p>
            <w:r>
              <w:rPr>
                <w:b/>
                <w:bCs/>
                <w:color w:val="FFFFFF"/>
                <w:sz w:val="19"/>
                <w:szCs w:val="19"/>
              </w:rPr>
              <w:t xml:space="preserve">Objectif visé</w:t>
            </w:r>
          </w:p>
        </w:tc>
      </w:tr>
      <w:tr>
        <w:tc>
          <w:tcPr>
            <w:tcW w:type="dxa" w:w="6250"/>
            <w:tcBorders>
              <w:top w:val="single" w:color="D9DEE4" w:sz="2"/>
              <w:left w:val="single" w:color="D9DEE4" w:sz="2"/>
              <w:bottom w:val="single" w:color="D9DEE4" w:sz="2"/>
              <w:right w:val="single" w:color="D9DEE4" w:sz="2"/>
            </w:tcBorders>
            <w:shd w:fill="FFFFFF" w:val="clear"/>
            <w:tcMar>
              <w:top w:type="dxa" w:w="90"/>
              <w:left w:type="dxa" w:w="140"/>
              <w:bottom w:type="dxa" w:w="90"/>
              <w:right w:type="dxa" w:w="140"/>
            </w:tcMar>
            <w:vAlign w:val="center"/>
          </w:tcPr>
          <w:p>
            <w:r>
              <w:rPr>
                <w:b/>
                <w:bCs/>
                <w:sz w:val="19"/>
                <w:szCs w:val="19"/>
              </w:rPr>
              <w:t xml:space="preserve">Tâches manuelles de triage éliminées</w:t>
            </w:r>
          </w:p>
        </w:tc>
        <w:tc>
          <w:tcPr>
            <w:tcW w:type="dxa" w:w="3830"/>
            <w:tcBorders>
              <w:top w:val="single" w:color="D9DEE4" w:sz="2"/>
              <w:left w:val="single" w:color="D9DEE4" w:sz="2"/>
              <w:bottom w:val="single" w:color="D9DEE4" w:sz="2"/>
              <w:right w:val="single" w:color="D9DEE4" w:sz="2"/>
            </w:tcBorders>
            <w:shd w:fill="FFFFFF" w:val="clear"/>
            <w:tcMar>
              <w:top w:type="dxa" w:w="90"/>
              <w:left w:type="dxa" w:w="140"/>
              <w:bottom w:type="dxa" w:w="90"/>
              <w:right w:type="dxa" w:w="140"/>
            </w:tcMar>
            <w:vAlign w:val="center"/>
          </w:tcPr>
          <w:p>
            <w:r>
              <w:rPr>
                <w:b w:val="false"/>
                <w:bCs w:val="false"/>
                <w:sz w:val="19"/>
                <w:szCs w:val="19"/>
              </w:rPr>
              <w:t xml:space="preserve">jusqu'à -70 %</w:t>
            </w:r>
          </w:p>
        </w:tc>
      </w:tr>
      <w:tr>
        <w:tc>
          <w:tcPr>
            <w:tcW w:type="dxa" w:w="6250"/>
            <w:tcBorders>
              <w:top w:val="single" w:color="D9DEE4" w:sz="2"/>
              <w:left w:val="single" w:color="D9DEE4" w:sz="2"/>
              <w:bottom w:val="single" w:color="D9DEE4" w:sz="2"/>
              <w:right w:val="single" w:color="D9DEE4" w:sz="2"/>
            </w:tcBorders>
            <w:shd w:fill="F4F6F8" w:val="clear"/>
            <w:tcMar>
              <w:top w:type="dxa" w:w="90"/>
              <w:left w:type="dxa" w:w="140"/>
              <w:bottom w:type="dxa" w:w="90"/>
              <w:right w:type="dxa" w:w="140"/>
            </w:tcMar>
            <w:vAlign w:val="center"/>
          </w:tcPr>
          <w:p>
            <w:r>
              <w:rPr>
                <w:b/>
                <w:bCs/>
                <w:sz w:val="19"/>
                <w:szCs w:val="19"/>
              </w:rPr>
              <w:t xml:space="preserve">Temps moyen de résolution (MTTR)</w:t>
            </w:r>
          </w:p>
        </w:tc>
        <w:tc>
          <w:tcPr>
            <w:tcW w:type="dxa" w:w="3830"/>
            <w:tcBorders>
              <w:top w:val="single" w:color="D9DEE4" w:sz="2"/>
              <w:left w:val="single" w:color="D9DEE4" w:sz="2"/>
              <w:bottom w:val="single" w:color="D9DEE4" w:sz="2"/>
              <w:right w:val="single" w:color="D9DEE4" w:sz="2"/>
            </w:tcBorders>
            <w:shd w:fill="F4F6F8" w:val="clear"/>
            <w:tcMar>
              <w:top w:type="dxa" w:w="90"/>
              <w:left w:type="dxa" w:w="140"/>
              <w:bottom w:type="dxa" w:w="90"/>
              <w:right w:type="dxa" w:w="140"/>
            </w:tcMar>
            <w:vAlign w:val="center"/>
          </w:tcPr>
          <w:p>
            <w:r>
              <w:rPr>
                <w:b w:val="false"/>
                <w:bCs w:val="false"/>
                <w:sz w:val="19"/>
                <w:szCs w:val="19"/>
              </w:rPr>
              <w:t xml:space="preserve">jusqu'à ×3 plus rapide</w:t>
            </w:r>
          </w:p>
        </w:tc>
      </w:tr>
      <w:tr>
        <w:tc>
          <w:tcPr>
            <w:tcW w:type="dxa" w:w="6250"/>
            <w:tcBorders>
              <w:top w:val="single" w:color="D9DEE4" w:sz="2"/>
              <w:left w:val="single" w:color="D9DEE4" w:sz="2"/>
              <w:bottom w:val="single" w:color="D9DEE4" w:sz="2"/>
              <w:right w:val="single" w:color="D9DEE4" w:sz="2"/>
            </w:tcBorders>
            <w:shd w:fill="FFFFFF" w:val="clear"/>
            <w:tcMar>
              <w:top w:type="dxa" w:w="90"/>
              <w:left w:type="dxa" w:w="140"/>
              <w:bottom w:type="dxa" w:w="90"/>
              <w:right w:type="dxa" w:w="140"/>
            </w:tcMar>
            <w:vAlign w:val="center"/>
          </w:tcPr>
          <w:p>
            <w:r>
              <w:rPr>
                <w:b/>
                <w:bCs/>
                <w:sz w:val="19"/>
                <w:szCs w:val="19"/>
              </w:rPr>
              <w:t xml:space="preserve">Conformité SLA sur incidents P1/P2</w:t>
            </w:r>
          </w:p>
        </w:tc>
        <w:tc>
          <w:tcPr>
            <w:tcW w:type="dxa" w:w="3830"/>
            <w:tcBorders>
              <w:top w:val="single" w:color="D9DEE4" w:sz="2"/>
              <w:left w:val="single" w:color="D9DEE4" w:sz="2"/>
              <w:bottom w:val="single" w:color="D9DEE4" w:sz="2"/>
              <w:right w:val="single" w:color="D9DEE4" w:sz="2"/>
            </w:tcBorders>
            <w:shd w:fill="FFFFFF" w:val="clear"/>
            <w:tcMar>
              <w:top w:type="dxa" w:w="90"/>
              <w:left w:type="dxa" w:w="140"/>
              <w:bottom w:type="dxa" w:w="90"/>
              <w:right w:type="dxa" w:w="140"/>
            </w:tcMar>
            <w:vAlign w:val="center"/>
          </w:tcPr>
          <w:p>
            <w:r>
              <w:rPr>
                <w:b w:val="false"/>
                <w:bCs w:val="false"/>
                <w:sz w:val="19"/>
                <w:szCs w:val="19"/>
              </w:rPr>
              <w:t xml:space="preserve">jusqu'à +85 %</w:t>
            </w:r>
          </w:p>
        </w:tc>
      </w:tr>
      <w:tr>
        <w:tc>
          <w:tcPr>
            <w:tcW w:type="dxa" w:w="6250"/>
            <w:tcBorders>
              <w:top w:val="single" w:color="D9DEE4" w:sz="2"/>
              <w:left w:val="single" w:color="D9DEE4" w:sz="2"/>
              <w:bottom w:val="single" w:color="D9DEE4" w:sz="2"/>
              <w:right w:val="single" w:color="D9DEE4" w:sz="2"/>
            </w:tcBorders>
            <w:shd w:fill="F4F6F8" w:val="clear"/>
            <w:tcMar>
              <w:top w:type="dxa" w:w="90"/>
              <w:left w:type="dxa" w:w="140"/>
              <w:bottom w:type="dxa" w:w="90"/>
              <w:right w:type="dxa" w:w="140"/>
            </w:tcMar>
            <w:vAlign w:val="center"/>
          </w:tcPr>
          <w:p>
            <w:r>
              <w:rPr>
                <w:b/>
                <w:bCs/>
                <w:sz w:val="19"/>
                <w:szCs w:val="19"/>
              </w:rPr>
              <w:t xml:space="preserve">Coût opérationnel support N1 (12 mois)</w:t>
            </w:r>
          </w:p>
        </w:tc>
        <w:tc>
          <w:tcPr>
            <w:tcW w:type="dxa" w:w="3830"/>
            <w:tcBorders>
              <w:top w:val="single" w:color="D9DEE4" w:sz="2"/>
              <w:left w:val="single" w:color="D9DEE4" w:sz="2"/>
              <w:bottom w:val="single" w:color="D9DEE4" w:sz="2"/>
              <w:right w:val="single" w:color="D9DEE4" w:sz="2"/>
            </w:tcBorders>
            <w:shd w:fill="F4F6F8" w:val="clear"/>
            <w:tcMar>
              <w:top w:type="dxa" w:w="90"/>
              <w:left w:type="dxa" w:w="140"/>
              <w:bottom w:type="dxa" w:w="90"/>
              <w:right w:type="dxa" w:w="140"/>
            </w:tcMar>
            <w:vAlign w:val="center"/>
          </w:tcPr>
          <w:p>
            <w:r>
              <w:rPr>
                <w:b w:val="false"/>
                <w:bCs w:val="false"/>
                <w:sz w:val="19"/>
                <w:szCs w:val="19"/>
              </w:rPr>
              <w:t xml:space="preserve">jusqu'à -60 %</w:t>
            </w:r>
          </w:p>
        </w:tc>
      </w:tr>
    </w:tbl>
    <w:p>
      <w:pPr>
        <w:pStyle w:val="Heading1"/>
      </w:pPr>
      <w:r>
        <w:t xml:space="preserve">4. Avant / après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D9DEE4" w:sz="2"/>
              <w:left w:val="single" w:color="D9DEE4" w:sz="2"/>
              <w:bottom w:val="single" w:color="D9DEE4" w:sz="2"/>
              <w:right w:val="single" w:color="D9DEE4" w:sz="2"/>
            </w:tcBorders>
            <w:shd w:fill="10263F" w:val="clear"/>
            <w:tcMar>
              <w:top w:type="dxa" w:w="100"/>
              <w:left w:type="dxa" w:w="140"/>
              <w:bottom w:type="dxa" w:w="100"/>
              <w:right w:type="dxa" w:w="140"/>
            </w:tcMar>
            <w:vAlign w:val="center"/>
          </w:tcPr>
          <w:p>
            <w:r>
              <w:rPr>
                <w:b/>
                <w:bCs/>
                <w:color w:val="FFFFFF"/>
                <w:sz w:val="19"/>
                <w:szCs w:val="19"/>
              </w:rPr>
              <w:t xml:space="preserve">Aujourd'hui (sans IA)</w:t>
            </w:r>
          </w:p>
        </w:tc>
        <w:tc>
          <w:tcPr>
            <w:tcW w:type="dxa" w:w="5040"/>
            <w:tcBorders>
              <w:top w:val="single" w:color="D9DEE4" w:sz="2"/>
              <w:left w:val="single" w:color="D9DEE4" w:sz="2"/>
              <w:bottom w:val="single" w:color="D9DEE4" w:sz="2"/>
              <w:right w:val="single" w:color="D9DEE4" w:sz="2"/>
            </w:tcBorders>
            <w:shd w:fill="10263F" w:val="clear"/>
            <w:tcMar>
              <w:top w:type="dxa" w:w="100"/>
              <w:left w:type="dxa" w:w="140"/>
              <w:bottom w:type="dxa" w:w="100"/>
              <w:right w:type="dxa" w:w="140"/>
            </w:tcMar>
            <w:vAlign w:val="center"/>
          </w:tcPr>
          <w:p>
            <w:r>
              <w:rPr>
                <w:b/>
                <w:bCs/>
                <w:color w:val="FFFFFF"/>
                <w:sz w:val="19"/>
                <w:szCs w:val="19"/>
              </w:rPr>
              <w:t xml:space="preserve">Avec Support IT Intelligent</w:t>
            </w:r>
          </w:p>
        </w:tc>
      </w:tr>
      <w:tr>
        <w:tc>
          <w:tcPr>
            <w:tcW w:type="dxa" w:w="5040"/>
            <w:tcBorders>
              <w:top w:val="single" w:color="D9DEE4" w:sz="2"/>
              <w:left w:val="single" w:color="D9DEE4" w:sz="2"/>
              <w:bottom w:val="single" w:color="D9DEE4" w:sz="2"/>
              <w:right w:val="single" w:color="D9DEE4" w:sz="2"/>
            </w:tcBorders>
            <w:shd w:fill="FFFFFF" w:val="clear"/>
            <w:tcMar>
              <w:top w:type="dxa" w:w="90"/>
              <w:left w:type="dxa" w:w="140"/>
              <w:bottom w:type="dxa" w:w="90"/>
              <w:right w:type="dxa" w:w="140"/>
            </w:tcMar>
            <w:vAlign w:val="center"/>
          </w:tcPr>
          <w:p>
            <w:r>
              <w:rPr>
                <w:b/>
                <w:bCs/>
                <w:sz w:val="19"/>
                <w:szCs w:val="19"/>
              </w:rPr>
              <w:t xml:space="preserve">Triage manuel : 15 à 30 minutes par ticket</w:t>
            </w:r>
          </w:p>
        </w:tc>
        <w:tc>
          <w:tcPr>
            <w:tcW w:type="dxa" w:w="5040"/>
            <w:tcBorders>
              <w:top w:val="single" w:color="D9DEE4" w:sz="2"/>
              <w:left w:val="single" w:color="D9DEE4" w:sz="2"/>
              <w:bottom w:val="single" w:color="D9DEE4" w:sz="2"/>
              <w:right w:val="single" w:color="D9DEE4" w:sz="2"/>
            </w:tcBorders>
            <w:shd w:fill="FFFFFF" w:val="clear"/>
            <w:tcMar>
              <w:top w:type="dxa" w:w="90"/>
              <w:left w:type="dxa" w:w="140"/>
              <w:bottom w:type="dxa" w:w="90"/>
              <w:right w:type="dxa" w:w="140"/>
            </w:tcMar>
            <w:vAlign w:val="center"/>
          </w:tcPr>
          <w:p>
            <w:r>
              <w:rPr>
                <w:b w:val="false"/>
                <w:bCs w:val="false"/>
                <w:sz w:val="19"/>
                <w:szCs w:val="19"/>
              </w:rPr>
              <w:t xml:space="preserve">Triage automatique par IA en quelques secondes</w:t>
            </w:r>
          </w:p>
        </w:tc>
      </w:tr>
      <w:tr>
        <w:tc>
          <w:tcPr>
            <w:tcW w:type="dxa" w:w="5040"/>
            <w:tcBorders>
              <w:top w:val="single" w:color="D9DEE4" w:sz="2"/>
              <w:left w:val="single" w:color="D9DEE4" w:sz="2"/>
              <w:bottom w:val="single" w:color="D9DEE4" w:sz="2"/>
              <w:right w:val="single" w:color="D9DEE4" w:sz="2"/>
            </w:tcBorders>
            <w:shd w:fill="F4F6F8" w:val="clear"/>
            <w:tcMar>
              <w:top w:type="dxa" w:w="90"/>
              <w:left w:type="dxa" w:w="140"/>
              <w:bottom w:type="dxa" w:w="90"/>
              <w:right w:type="dxa" w:w="140"/>
            </w:tcMar>
            <w:vAlign w:val="center"/>
          </w:tcPr>
          <w:p>
            <w:r>
              <w:rPr>
                <w:b/>
                <w:bCs/>
                <w:sz w:val="19"/>
                <w:szCs w:val="19"/>
              </w:rPr>
              <w:t xml:space="preserve">Routage par email, erreurs d'affectation fréquentes</w:t>
            </w:r>
          </w:p>
        </w:tc>
        <w:tc>
          <w:tcPr>
            <w:tcW w:type="dxa" w:w="5040"/>
            <w:tcBorders>
              <w:top w:val="single" w:color="D9DEE4" w:sz="2"/>
              <w:left w:val="single" w:color="D9DEE4" w:sz="2"/>
              <w:bottom w:val="single" w:color="D9DEE4" w:sz="2"/>
              <w:right w:val="single" w:color="D9DEE4" w:sz="2"/>
            </w:tcBorders>
            <w:shd w:fill="F4F6F8" w:val="clear"/>
            <w:tcMar>
              <w:top w:type="dxa" w:w="90"/>
              <w:left w:type="dxa" w:w="140"/>
              <w:bottom w:type="dxa" w:w="90"/>
              <w:right w:type="dxa" w:w="140"/>
            </w:tcMar>
            <w:vAlign w:val="center"/>
          </w:tcPr>
          <w:p>
            <w:r>
              <w:rPr>
                <w:b w:val="false"/>
                <w:bCs w:val="false"/>
                <w:sz w:val="19"/>
                <w:szCs w:val="19"/>
              </w:rPr>
              <w:t xml:space="preserve">Routage intelligent vers l'expert compétent</w:t>
            </w:r>
          </w:p>
        </w:tc>
      </w:tr>
      <w:tr>
        <w:tc>
          <w:tcPr>
            <w:tcW w:type="dxa" w:w="5040"/>
            <w:tcBorders>
              <w:top w:val="single" w:color="D9DEE4" w:sz="2"/>
              <w:left w:val="single" w:color="D9DEE4" w:sz="2"/>
              <w:bottom w:val="single" w:color="D9DEE4" w:sz="2"/>
              <w:right w:val="single" w:color="D9DEE4" w:sz="2"/>
            </w:tcBorders>
            <w:shd w:fill="FFFFFF" w:val="clear"/>
            <w:tcMar>
              <w:top w:type="dxa" w:w="90"/>
              <w:left w:type="dxa" w:w="140"/>
              <w:bottom w:type="dxa" w:w="90"/>
              <w:right w:type="dxa" w:w="140"/>
            </w:tcMar>
            <w:vAlign w:val="center"/>
          </w:tcPr>
          <w:p>
            <w:r>
              <w:rPr>
                <w:b/>
                <w:bCs/>
                <w:sz w:val="19"/>
                <w:szCs w:val="19"/>
              </w:rPr>
              <w:t xml:space="preserve">Aucune visibilité SLA en temps réel</w:t>
            </w:r>
          </w:p>
        </w:tc>
        <w:tc>
          <w:tcPr>
            <w:tcW w:type="dxa" w:w="5040"/>
            <w:tcBorders>
              <w:top w:val="single" w:color="D9DEE4" w:sz="2"/>
              <w:left w:val="single" w:color="D9DEE4" w:sz="2"/>
              <w:bottom w:val="single" w:color="D9DEE4" w:sz="2"/>
              <w:right w:val="single" w:color="D9DEE4" w:sz="2"/>
            </w:tcBorders>
            <w:shd w:fill="FFFFFF" w:val="clear"/>
            <w:tcMar>
              <w:top w:type="dxa" w:w="90"/>
              <w:left w:type="dxa" w:w="140"/>
              <w:bottom w:type="dxa" w:w="90"/>
              <w:right w:type="dxa" w:w="140"/>
            </w:tcMar>
            <w:vAlign w:val="center"/>
          </w:tcPr>
          <w:p>
            <w:r>
              <w:rPr>
                <w:b w:val="false"/>
                <w:bCs w:val="false"/>
                <w:sz w:val="19"/>
                <w:szCs w:val="19"/>
              </w:rPr>
              <w:t xml:space="preserve">Suivi SLA avec échéance attribuée dès la réception</w:t>
            </w:r>
          </w:p>
        </w:tc>
      </w:tr>
      <w:tr>
        <w:tc>
          <w:tcPr>
            <w:tcW w:type="dxa" w:w="5040"/>
            <w:tcBorders>
              <w:top w:val="single" w:color="D9DEE4" w:sz="2"/>
              <w:left w:val="single" w:color="D9DEE4" w:sz="2"/>
              <w:bottom w:val="single" w:color="D9DEE4" w:sz="2"/>
              <w:right w:val="single" w:color="D9DEE4" w:sz="2"/>
            </w:tcBorders>
            <w:shd w:fill="F4F6F8" w:val="clear"/>
            <w:tcMar>
              <w:top w:type="dxa" w:w="90"/>
              <w:left w:type="dxa" w:w="140"/>
              <w:bottom w:type="dxa" w:w="90"/>
              <w:right w:type="dxa" w:w="140"/>
            </w:tcMar>
            <w:vAlign w:val="center"/>
          </w:tcPr>
          <w:p>
            <w:r>
              <w:rPr>
                <w:b/>
                <w:bCs/>
                <w:sz w:val="19"/>
                <w:szCs w:val="19"/>
              </w:rPr>
              <w:t xml:space="preserve">Résolution N1 : 4 à 8 heures en moyenne</w:t>
            </w:r>
          </w:p>
        </w:tc>
        <w:tc>
          <w:tcPr>
            <w:tcW w:type="dxa" w:w="5040"/>
            <w:tcBorders>
              <w:top w:val="single" w:color="D9DEE4" w:sz="2"/>
              <w:left w:val="single" w:color="D9DEE4" w:sz="2"/>
              <w:bottom w:val="single" w:color="D9DEE4" w:sz="2"/>
              <w:right w:val="single" w:color="D9DEE4" w:sz="2"/>
            </w:tcBorders>
            <w:shd w:fill="F4F6F8" w:val="clear"/>
            <w:tcMar>
              <w:top w:type="dxa" w:w="90"/>
              <w:left w:type="dxa" w:w="140"/>
              <w:bottom w:type="dxa" w:w="90"/>
              <w:right w:type="dxa" w:w="140"/>
            </w:tcMar>
            <w:vAlign w:val="center"/>
          </w:tcPr>
          <w:p>
            <w:r>
              <w:rPr>
                <w:b w:val="false"/>
                <w:bCs w:val="false"/>
                <w:sz w:val="19"/>
                <w:szCs w:val="19"/>
              </w:rPr>
              <w:t xml:space="preserve">Résolution automatique en quelques minutes pour les cas éligibles</w:t>
            </w:r>
          </w:p>
        </w:tc>
      </w:tr>
      <w:tr>
        <w:tc>
          <w:tcPr>
            <w:tcW w:type="dxa" w:w="5040"/>
            <w:tcBorders>
              <w:top w:val="single" w:color="D9DEE4" w:sz="2"/>
              <w:left w:val="single" w:color="D9DEE4" w:sz="2"/>
              <w:bottom w:val="single" w:color="D9DEE4" w:sz="2"/>
              <w:right w:val="single" w:color="D9DEE4" w:sz="2"/>
            </w:tcBorders>
            <w:shd w:fill="FFFFFF" w:val="clear"/>
            <w:tcMar>
              <w:top w:type="dxa" w:w="90"/>
              <w:left w:type="dxa" w:w="140"/>
              <w:bottom w:type="dxa" w:w="90"/>
              <w:right w:type="dxa" w:w="140"/>
            </w:tcMar>
            <w:vAlign w:val="center"/>
          </w:tcPr>
          <w:p>
            <w:r>
              <w:rPr>
                <w:b/>
                <w:bCs/>
                <w:sz w:val="19"/>
                <w:szCs w:val="19"/>
              </w:rPr>
              <w:t xml:space="preserve">Perte de contexte lors de l'escalade</w:t>
            </w:r>
          </w:p>
        </w:tc>
        <w:tc>
          <w:tcPr>
            <w:tcW w:type="dxa" w:w="5040"/>
            <w:tcBorders>
              <w:top w:val="single" w:color="D9DEE4" w:sz="2"/>
              <w:left w:val="single" w:color="D9DEE4" w:sz="2"/>
              <w:bottom w:val="single" w:color="D9DEE4" w:sz="2"/>
              <w:right w:val="single" w:color="D9DEE4" w:sz="2"/>
            </w:tcBorders>
            <w:shd w:fill="FFFFFF" w:val="clear"/>
            <w:tcMar>
              <w:top w:type="dxa" w:w="90"/>
              <w:left w:type="dxa" w:w="140"/>
              <w:bottom w:type="dxa" w:w="90"/>
              <w:right w:type="dxa" w:w="140"/>
            </w:tcMar>
            <w:vAlign w:val="center"/>
          </w:tcPr>
          <w:p>
            <w:r>
              <w:rPr>
                <w:b w:val="false"/>
                <w:bCs w:val="false"/>
                <w:sz w:val="19"/>
                <w:szCs w:val="19"/>
              </w:rPr>
              <w:t xml:space="preserve">Brief de diagnostic complet transmis au technicien</w:t>
            </w:r>
          </w:p>
        </w:tc>
      </w:tr>
    </w:tbl>
    <w:p>
      <w:r>
        <w:br w:type="page"/>
      </w:r>
    </w:p>
    <w:p>
      <w:pPr>
        <w:pStyle w:val="Heading1"/>
      </w:pPr>
      <w:r>
        <w:t xml:space="preserve">5. Tester la démonstration en direct</w:t>
      </w:r>
    </w:p>
    <w:p>
      <w:pPr>
        <w:spacing w:after="160" w:before="0"/>
      </w:pPr>
      <w:r>
        <w:rPr>
          <w:sz w:val="21"/>
          <w:szCs w:val="21"/>
        </w:rPr>
        <w:t xml:space="preserve">Une page de démonstration permet de soumettre un ticket réel et d'observer le traitement par le workflow en quelques secondes.</w:t>
      </w:r>
    </w:p>
    <w:p>
      <w:pPr>
        <w:pStyle w:val="ListParagraph"/>
        <w:numPr>
          <w:ilvl w:val="0"/>
          <w:numId w:val="2"/>
        </w:numPr>
        <w:spacing w:after="100"/>
      </w:pPr>
      <w:r>
        <w:rPr>
          <w:sz w:val="21"/>
          <w:szCs w:val="21"/>
        </w:rPr>
        <w:t xml:space="preserve">Ouvrir la page de démonstration : www.transferai.ci/demo/support-it-intelligent</w:t>
      </w:r>
    </w:p>
    <w:p>
      <w:pPr>
        <w:pStyle w:val="ListParagraph"/>
        <w:numPr>
          <w:ilvl w:val="0"/>
          <w:numId w:val="2"/>
        </w:numPr>
        <w:spacing w:after="100"/>
      </w:pPr>
      <w:r>
        <w:rPr>
          <w:sz w:val="21"/>
          <w:szCs w:val="21"/>
        </w:rPr>
        <w:t xml:space="preserve">Renseigner le nom complet, l'adresse email et, si souhaité, le département du demandeur.</w:t>
      </w:r>
    </w:p>
    <w:p>
      <w:pPr>
        <w:pStyle w:val="ListParagraph"/>
        <w:numPr>
          <w:ilvl w:val="0"/>
          <w:numId w:val="2"/>
        </w:numPr>
        <w:spacing w:after="100"/>
      </w:pPr>
      <w:r>
        <w:rPr>
          <w:sz w:val="21"/>
          <w:szCs w:val="21"/>
        </w:rPr>
        <w:t xml:space="preserve">Décrire le ticket : sujet, description détaillée, urgence perçue, canal d'origine.</w:t>
      </w:r>
    </w:p>
    <w:p>
      <w:pPr>
        <w:pStyle w:val="ListParagraph"/>
        <w:numPr>
          <w:ilvl w:val="0"/>
          <w:numId w:val="2"/>
        </w:numPr>
        <w:spacing w:after="100"/>
      </w:pPr>
      <w:r>
        <w:rPr>
          <w:sz w:val="21"/>
          <w:szCs w:val="21"/>
        </w:rPr>
        <w:t xml:space="preserve">Soumettre le ticket et suivre en direct les 4 étapes du workflow à l'écran : réception, diagnostic IA, décision (résolution automatique ou escalade), et objectif SLA attribué.</w:t>
      </w:r>
    </w:p>
    <w:p>
      <w:pPr>
        <w:pStyle w:val="ListParagraph"/>
        <w:numPr>
          <w:ilvl w:val="0"/>
          <w:numId w:val="2"/>
        </w:numPr>
        <w:spacing w:after="100"/>
      </w:pPr>
      <w:r>
        <w:rPr>
          <w:sz w:val="21"/>
          <w:szCs w:val="21"/>
        </w:rPr>
        <w:t xml:space="preserve">Consulter le résultat affiché (catégorie, score de confiance, décision, délai cible) ainsi que l'email envoyé automatiquement à l'adresse renseignée.</w:t>
      </w:r>
    </w:p>
    <w:p>
      <w:pPr>
        <w:spacing w:after="160" w:before="0"/>
      </w:pPr>
      <w:r>
        <w:rPr>
          <w:i/>
          <w:iCs/>
          <w:color w:val="E8920A"/>
          <w:sz w:val="19"/>
          <w:szCs w:val="19"/>
        </w:rPr>
        <w:t xml:space="preserve">Un email réel est envoyé à chaque test : utiliser une adresse que le participant peut consulter pendant la démonstration.</w:t>
      </w:r>
    </w:p>
    <w:p>
      <w:pPr>
        <w:pStyle w:val="Heading1"/>
      </w:pPr>
      <w:r>
        <w:t xml:space="preserve">6. Gouvernance, sécurité et confidentialité</w:t>
      </w:r>
    </w:p>
    <w:p>
      <w:pPr>
        <w:pStyle w:val="ListParagraph"/>
        <w:numPr>
          <w:ilvl w:val="0"/>
          <w:numId w:val="3"/>
        </w:numPr>
        <w:spacing w:after="100"/>
      </w:pPr>
      <w:r>
        <w:rPr>
          <w:sz w:val="21"/>
          <w:szCs w:val="21"/>
        </w:rPr>
        <w:t xml:space="preserve">Contrôle humain maintenu : toute décision à fort impact (escalade, technicien assigné) reste validée par une personne.</w:t>
      </w:r>
    </w:p>
    <w:p>
      <w:pPr>
        <w:pStyle w:val="ListParagraph"/>
        <w:numPr>
          <w:ilvl w:val="0"/>
          <w:numId w:val="3"/>
        </w:numPr>
        <w:spacing w:after="100"/>
      </w:pPr>
      <w:r>
        <w:rPr>
          <w:sz w:val="21"/>
          <w:szCs w:val="21"/>
        </w:rPr>
        <w:t xml:space="preserve">Traçabilité totale : chaque ticket, sa classification et sa décision sont horodatés et conservés.</w:t>
      </w:r>
    </w:p>
    <w:p>
      <w:pPr>
        <w:pStyle w:val="ListParagraph"/>
        <w:numPr>
          <w:ilvl w:val="0"/>
          <w:numId w:val="3"/>
        </w:numPr>
        <w:spacing w:after="100"/>
      </w:pPr>
      <w:r>
        <w:rPr>
          <w:sz w:val="21"/>
          <w:szCs w:val="21"/>
        </w:rPr>
        <w:t xml:space="preserve">Aucune refonte du système d'information existant : intégration native avec l'outil ITSM en place (ServiceNow, Jira, Freshdesk), l'email, Teams et WhatsApp.</w:t>
      </w:r>
    </w:p>
    <w:p>
      <w:pPr>
        <w:pStyle w:val="ListParagraph"/>
        <w:numPr>
          <w:ilvl w:val="0"/>
          <w:numId w:val="3"/>
        </w:numPr>
        <w:spacing w:after="100"/>
      </w:pPr>
      <w:r>
        <w:rPr>
          <w:sz w:val="21"/>
          <w:szCs w:val="21"/>
        </w:rPr>
        <w:t xml:space="preserve">Démarche pilote : un périmètre restreint permet de mesurer le ROI réel avant toute extension à l'organisation.</w:t>
      </w:r>
    </w:p>
    <w:p>
      <w:pPr>
        <w:pStyle w:val="Heading1"/>
      </w:pPr>
      <w:r>
        <w:t xml:space="preserve">7. Mise en œuvre</w:t>
      </w:r>
    </w:p>
    <w:p>
      <w:pPr>
        <w:spacing w:after="160" w:before="0"/>
      </w:pPr>
      <w:r>
        <w:rPr>
          <w:sz w:val="21"/>
          <w:szCs w:val="21"/>
        </w:rPr>
        <w:t xml:space="preserve">Délai de déploiement : 4 à 8 semaines, sans interruption de service pour l'équipe support existante. Le pilote démarre sur un périmètre limité (50 à 200 tickets par mois), avec mesure des indicateurs clés dès le troisième mois.</w:t>
      </w:r>
    </w:p>
    <w:p>
      <w:pPr>
        <w:pStyle w:val="Heading1"/>
      </w:pPr>
      <w:r>
        <w:t xml:space="preserve">8. Contact</w:t>
      </w:r>
    </w:p>
    <w:p>
      <w:pPr>
        <w:spacing w:after="160" w:before="0"/>
      </w:pPr>
      <w:r>
        <w:rPr>
          <w:sz w:val="21"/>
          <w:szCs w:val="21"/>
        </w:rPr>
        <w:t xml:space="preserve">Pour organiser une démonstration ou lancer un pilote :</w:t>
      </w:r>
    </w:p>
    <w:p>
      <w:pPr>
        <w:pStyle w:val="ListParagraph"/>
        <w:numPr>
          <w:ilvl w:val="0"/>
          <w:numId w:val="3"/>
        </w:numPr>
        <w:spacing w:after="100"/>
      </w:pPr>
      <w:r>
        <w:rPr>
          <w:sz w:val="21"/>
          <w:szCs w:val="21"/>
        </w:rPr>
        <w:t xml:space="preserve">Email : contact@transferai.ci</w:t>
      </w:r>
    </w:p>
    <w:p>
      <w:pPr>
        <w:pStyle w:val="ListParagraph"/>
        <w:numPr>
          <w:ilvl w:val="0"/>
          <w:numId w:val="3"/>
        </w:numPr>
        <w:spacing w:after="100"/>
      </w:pPr>
      <w:r>
        <w:rPr>
          <w:sz w:val="21"/>
          <w:szCs w:val="21"/>
        </w:rPr>
        <w:t xml:space="preserve">Site : www.transferai.ci</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5A6472"/>
        <w:sz w:val="15"/>
        <w:szCs w:val="15"/>
      </w:rPr>
      <w:t xml:space="preserve">contact@transferai.ci · www.transferai.ci</w:t>
    </w:r>
    <w:r>
      <w:rPr>
        <w:color w:val="5A6472"/>
        <w:sz w:val="15"/>
        <w:szCs w:val="15"/>
      </w:rPr>
      <w:t xml:space="preserve">	Page </w:t>
    </w:r>
    <w:r>
      <w:rPr>
        <w:color w:val="5A6472"/>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E4" w:sz="4" w:space="4"/>
      </w:pBdr>
      <w:tabs>
        <w:tab w:val="right" w:pos="9026"/>
      </w:tabs>
    </w:pPr>
    <w:r>
      <w:rPr>
        <w:b/>
        <w:bCs/>
        <w:color w:val="10263F"/>
        <w:sz w:val="17"/>
        <w:szCs w:val="17"/>
      </w:rPr>
      <w:t xml:space="preserve">TransferAI Africa</w:t>
    </w:r>
    <w:r>
      <w:rPr>
        <w:color w:val="5A6472"/>
        <w:sz w:val="17"/>
        <w:szCs w:val="17"/>
      </w:rPr>
      <w:t xml:space="preserve">	Support IT Intelligent — Guide utilisateur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29"/>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80"/>
      <w:outlineLvl w:val="0"/>
    </w:pPr>
    <w:rPr>
      <w:rFonts w:ascii="Arial" w:cs="Arial" w:eastAsia="Arial" w:hAnsi="Arial"/>
      <w:b/>
      <w:bCs/>
      <w:color w:val="10263F"/>
      <w:sz w:val="30"/>
      <w:szCs w:val="30"/>
    </w:rPr>
  </w:style>
  <w:style w:type="paragraph" w:styleId="Heading2">
    <w:name w:val="Heading 2"/>
    <w:basedOn w:val="Normal"/>
    <w:next w:val="Normal"/>
    <w:qFormat/>
    <w:pPr>
      <w:spacing w:after="140" w:before="260"/>
      <w:outlineLvl w:val="1"/>
    </w:pPr>
    <w:rPr>
      <w:rFonts w:ascii="Arial" w:cs="Arial" w:eastAsia="Arial" w:hAnsi="Arial"/>
      <w:b/>
      <w:bCs/>
      <w:color w:val="0D7D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2026-07-08T17:34:26.461Z</dcterms:created>
  <dcterms:modified xsi:type="dcterms:W3CDTF">2026-07-08T17:34:26.466Z</dcterms:modified>
</cp:coreProperties>
</file>

<file path=docProps/custom.xml><?xml version="1.0" encoding="utf-8"?>
<Properties xmlns="http://schemas.openxmlformats.org/officeDocument/2006/custom-properties" xmlns:vt="http://schemas.openxmlformats.org/officeDocument/2006/docPropsVTypes"/>
</file>