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TransferAI Africa - Note Direction / Partage Externe</w:t>
      </w:r>
    </w:p>
    <w:p>
      <w:pPr>
        <w:spacing w:after="440"/>
      </w:pPr>
      <w:r>
        <w:rPr>
          <w:rFonts w:ascii="Arial" w:hAnsi="Arial" w:cs="Arial"/>
          <w:sz w:val="32"/>
          <w:sz-cs w:val="32"/>
          <w:spacing w:val="0"/>
          <w:color w:val="585E6D"/>
        </w:rPr>
        <w:t xml:space="preserve">Version synthétique - mise à jour du 11 avril 2026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Objet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présenter l'état actuel du site TransferAI Africa, sa valeur business et les prochains axes de développement dans un format court, partageable et non technique.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Dernière mise à jour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cette version intègre la simplification de plusieurs pages, la meilleure visibilité de l'audit IA gratuit, la structuration du parcours partenaires et la professionnalisation des emails automatiques.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1. Ce qu'est aujourd'hui TransferAI Africa</w:t>
      </w:r>
    </w:p>
    <w:p>
      <w:pPr>
        <w:spacing w:after="320"/>
      </w:pPr>
      <w:r>
        <w:rPr>
          <w:rFonts w:ascii="Arial" w:hAnsi="Arial" w:cs="Arial"/>
          <w:sz w:val="32"/>
          <w:sz-cs w:val="32"/>
          <w:spacing w:val="0"/>
          <w:color w:val="181E2A"/>
        </w:rPr>
        <w:t xml:space="preserve">TransferAI Africa est désormais une plateforme structurée qui combine formation, certification sectorielle, offre entreprise, contenus IA, matrice d'outils, back-office d'administration et pipeline newsletter.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2. Ce que le site permet déjà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présenter l'offre de formation et de certification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orienter les visiteurs selon leur profil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nourrir l'audience avec des contenus ciblés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capter des leads et demandes entreprise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recevoir des demandes partenaires ou de référencement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piloter des contenus et newsletters depuis un back-office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3. Différenciation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FR d'abord, ancrage Côte d'Ivoire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approche métier et non gadget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13 domaines d'expertise couverts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combinaison formation, contenus, entreprise et outils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préparation d'un futur assistant IA appuyé sur une vraie base de connaissance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4. Valeur business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vitrine premium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support de conversion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outil de crédibilité éditoriale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socle de relation newsletter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base d'automatisation future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5. Briques déjà en place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front structuré et déployé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blog dynamique et pages articles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certification sectorielle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matrice outils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back-office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éditorial assisté par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newsletter par domaine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pipeline partenaires avec revue et email de réponse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6. Prochaines étapes rationnelles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industrialiser l'édition newsletter hebdomadaire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renforcer le futur assistant IA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continuer à simplifier les pages les plus denses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étendre les contenus stratégiques EN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renforcer les analytics utiles à la direction</w:t>
      </w:r>
    </w:p>
    <w:p>
      <w:pPr>
        <w:spacing w:after="348"/>
      </w:pPr>
      <w:r>
        <w:rPr>
          <w:rFonts w:ascii="Arial" w:hAnsi="Arial" w:cs="Arial"/>
          <w:sz w:val="42"/>
          <w:sz-cs w:val="42"/>
          <w:b/>
          <w:spacing w:val="0"/>
          <w:color w:val="0D121F"/>
        </w:rPr>
        <w:t xml:space="preserve">7. Lecture de maturité actuelle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le site n'est plus seulement informatif, il devient un outil de conversion et de relation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l'offre entreprise est mieux mise en avant grâce à l'audit IA gratuit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partie partenaires commence à fonctionner comme un vrai parcours business</w:t>
      </w:r>
    </w:p>
    <w:p>
      <w:pPr>
        <w:ind w:left="720" w:first-line="-720"/>
      </w:pPr>
      <w:r>
        <w:rPr>
          <w:rFonts w:ascii="Arial" w:hAnsi="Arial" w:cs="Arial"/>
          <w:sz w:val="32"/>
          <w:sz-cs w:val="32"/>
          <w:color w:val="181E2A"/>
        </w:rPr>
        <w:t xml:space="preserve"/>
        <w:tab/>
        <w:t xml:space="preserve">•</w:t>
        <w:tab/>
        <w:t xml:space="preserve"/>
      </w:r>
      <w:r>
        <w:rPr>
          <w:rFonts w:ascii="Arial" w:hAnsi="Arial" w:cs="Arial"/>
          <w:sz w:val="32"/>
          <w:sz-cs w:val="32"/>
          <w:spacing w:val="0"/>
          <w:color w:val="181E2A"/>
        </w:rPr>
        <w:t xml:space="preserve">la ligne éditoriale est plus claire, plus courte et plus fluide qu'au départ</w:t>
      </w:r>
    </w:p>
    <w:p>
      <w:pPr/>
      <w:r>
        <w:rPr>
          <w:rFonts w:ascii="Arial" w:hAnsi="Arial" w:cs="Arial"/>
          <w:sz w:val="24"/>
          <w:sz-cs w:val="24"/>
          <w:b/>
          <w:spacing w:val="0"/>
          <w:color w:val="181E2A"/>
        </w:rPr>
        <w:t xml:space="preserve">Conclusion :</w:t>
      </w:r>
      <w:r>
        <w:rPr>
          <w:rFonts w:ascii="Arial" w:hAnsi="Arial" w:cs="Arial"/>
          <w:sz w:val="24"/>
          <w:sz-cs w:val="24"/>
          <w:spacing w:val="0"/>
          <w:color w:val="181E2A"/>
        </w:rPr>
        <w:t xml:space="preserve"> le site a déjà franchi le cap du simple site institutionnel. Il sert désormais à informer, convertir, administrer, crédibiliser et préparer la prochaine couche d'automatisation intelligente de TransferAI Africa.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CocoaOOXMLWriter/2487.7</generator>
</meta>
</file>