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E4B"/>
          <w:sz w:val="44"/>
        </w:rPr>
        <w:t>Guide Utilisateur V2 + V6</w:t>
      </w:r>
    </w:p>
    <w:p>
      <w:pPr>
        <w:jc w:val="center"/>
      </w:pPr>
      <w:r>
        <w:rPr>
          <w:rFonts w:ascii="Arial" w:hAnsi="Arial"/>
          <w:i/>
          <w:color w:val="5A5A5A"/>
          <w:sz w:val="21"/>
        </w:rPr>
        <w:t>Workflow post-audit TransferAI avec tableau de bord Google Sheets</w:t>
      </w:r>
    </w:p>
    <w:tbl>
      <w:tblPr>
        <w:tblStyle w:val="TableGrid"/>
        <w:tblW w:type="auto" w:w="0"/>
        <w:tblLayout w:type="fixed"/>
        <w:tblLook w:firstColumn="1" w:firstRow="1" w:lastColumn="0" w:lastRow="0" w:noHBand="0" w:noVBand="1" w:val="04A0"/>
      </w:tblPr>
      <w:tblGrid>
        <w:gridCol w:w="4968"/>
        <w:gridCol w:w="4968"/>
      </w:tblGrid>
      <w:tr>
        <w:tc>
          <w:tcPr>
            <w:tcW w:type="dxa" w:w="2304"/>
            <w:shd w:fill="DDEBF7"/>
          </w:tcPr>
          <w:p>
            <w:r>
              <w:t>Projet</w:t>
            </w:r>
          </w:p>
        </w:tc>
        <w:tc>
          <w:tcPr>
            <w:tcW w:type="dxa" w:w="7920"/>
          </w:tcPr>
          <w:p>
            <w:r>
              <w:t>Workflow Post-Audit CRM-Aware V2 + V6 Dashboard</w:t>
            </w:r>
          </w:p>
        </w:tc>
      </w:tr>
      <w:tr>
        <w:tc>
          <w:tcPr>
            <w:tcW w:type="dxa" w:w="2304"/>
            <w:shd w:fill="DDEBF7"/>
          </w:tcPr>
          <w:p>
            <w:r>
              <w:t>Date</w:t>
            </w:r>
          </w:p>
        </w:tc>
        <w:tc>
          <w:tcPr>
            <w:tcW w:type="dxa" w:w="7920"/>
          </w:tcPr>
          <w:p>
            <w:r>
              <w:t>07 juin 2026</w:t>
            </w:r>
          </w:p>
        </w:tc>
      </w:tr>
      <w:tr>
        <w:tc>
          <w:tcPr>
            <w:tcW w:type="dxa" w:w="2304"/>
            <w:shd w:fill="DDEBF7"/>
          </w:tcPr>
          <w:p>
            <w:r>
              <w:t>Portée</w:t>
            </w:r>
          </w:p>
        </w:tc>
        <w:tc>
          <w:tcPr>
            <w:tcW w:type="dxa" w:w="7920"/>
          </w:tcPr>
          <w:p>
            <w:r>
              <w:t>Guide opératoire pour équipes audit, experts et commerciaux non-tech.</w:t>
            </w:r>
          </w:p>
        </w:tc>
      </w:tr>
    </w:tbl>
    <w:p/>
    <w:p>
      <w:pPr>
        <w:pStyle w:val="Heading1"/>
      </w:pPr>
      <w:r>
        <w:t>1. Objet du guide</w:t>
      </w:r>
    </w:p>
    <w:p>
      <w:pPr>
        <w:spacing w:after="100"/>
      </w:pPr>
      <w:r>
        <w:t>Ce guide décrit la chaîne post-audit V2 enrichie par V6. Il explique comment les réponses du formulaire d'audit sont récupérées, consolidées, transformées en fiche expert, puis synchronisées dans un tableau Google Sheets utilisable par les commerciaux et les experts non-tech.</w:t>
      </w:r>
    </w:p>
    <w:p>
      <w:pPr>
        <w:spacing w:after="100"/>
      </w:pPr>
      <w:r>
        <w:t>Le guide suppose que la V3 de prospection, d'envoi du pack et d'accès au formulaire dynamique est déjà opérationnelle.</w:t>
      </w:r>
    </w:p>
    <w:p>
      <w:pPr>
        <w:pStyle w:val="Heading1"/>
      </w:pPr>
      <w:r>
        <w:t>2. Ce que fait V2</w:t>
      </w:r>
    </w:p>
    <w:p>
      <w:pPr>
        <w:pStyle w:val="ListBullet"/>
        <w:spacing w:after="40"/>
      </w:pPr>
      <w:r>
        <w:t>Récupère la réponse d'audit complétée depuis Supabase.</w:t>
      </w:r>
    </w:p>
    <w:p>
      <w:pPr>
        <w:pStyle w:val="ListBullet"/>
        <w:spacing w:after="40"/>
      </w:pPr>
      <w:r>
        <w:t>Relie la réponse au bon pack, à l'invitation et au prospect CRM.</w:t>
      </w:r>
    </w:p>
    <w:p>
      <w:pPr>
        <w:pStyle w:val="ListBullet"/>
        <w:spacing w:after="40"/>
      </w:pPr>
      <w:r>
        <w:t>Construit un contexte CRM-aware consolidé.</w:t>
      </w:r>
    </w:p>
    <w:p>
      <w:pPr>
        <w:pStyle w:val="ListBullet"/>
        <w:spacing w:after="40"/>
      </w:pPr>
      <w:r>
        <w:t>Génère une fiche interne Pré-RDV par IA.</w:t>
      </w:r>
    </w:p>
    <w:p>
      <w:pPr>
        <w:pStyle w:val="ListBullet"/>
        <w:spacing w:after="40"/>
      </w:pPr>
      <w:r>
        <w:t>Met à jour le suivi post-audit dans Supabase.</w:t>
      </w:r>
    </w:p>
    <w:p>
      <w:pPr>
        <w:pStyle w:val="ListBullet"/>
        <w:spacing w:after="40"/>
      </w:pPr>
      <w:r>
        <w:t>Envoie une fiche interne à l'équipe experte.</w:t>
      </w:r>
    </w:p>
    <w:p>
      <w:pPr>
        <w:pStyle w:val="Heading1"/>
      </w:pPr>
      <w:r>
        <w:t>3. Ce que V6 ajoute</w:t>
      </w:r>
    </w:p>
    <w:p>
      <w:pPr>
        <w:pStyle w:val="ListBullet"/>
        <w:spacing w:after="40"/>
      </w:pPr>
      <w:r>
        <w:t>Transforme la sortie métier de V2 en ligne de dashboard lisible.</w:t>
      </w:r>
    </w:p>
    <w:p>
      <w:pPr>
        <w:pStyle w:val="ListBullet"/>
        <w:spacing w:after="40"/>
      </w:pPr>
      <w:r>
        <w:t>Synchronise cette ligne dans Google Sheets.</w:t>
      </w:r>
    </w:p>
    <w:p>
      <w:pPr>
        <w:pStyle w:val="ListBullet"/>
        <w:spacing w:after="40"/>
      </w:pPr>
      <w:r>
        <w:t>Déclenche une notification expert si le dossier est suffisamment complet.</w:t>
      </w:r>
    </w:p>
    <w:p>
      <w:pPr>
        <w:pStyle w:val="ListBullet"/>
        <w:spacing w:after="40"/>
      </w:pPr>
      <w:r>
        <w:t>Produit un résumé d'exécution V6 pour contrôle et audit.</w:t>
      </w:r>
    </w:p>
    <w:p>
      <w:pPr>
        <w:pStyle w:val="Heading1"/>
      </w:pPr>
      <w:r>
        <w:t>4. Flux global V2 + V6</w:t>
      </w:r>
    </w:p>
    <w:p>
      <w:pPr>
        <w:pStyle w:val="ListNumber"/>
        <w:spacing w:after="40"/>
      </w:pPr>
      <w:r>
        <w:t>Le prospect complète le formulaire d'audit lié à un pack_id.</w:t>
      </w:r>
    </w:p>
    <w:p>
      <w:pPr>
        <w:pStyle w:val="ListNumber"/>
        <w:spacing w:after="40"/>
      </w:pPr>
      <w:r>
        <w:t>La réponse est enregistrée dans Supabase via save-form-response.</w:t>
      </w:r>
    </w:p>
    <w:p>
      <w:pPr>
        <w:pStyle w:val="ListNumber"/>
        <w:spacing w:after="40"/>
      </w:pPr>
      <w:r>
        <w:t>Le workflow V2 post-audit se déclenche.</w:t>
      </w:r>
    </w:p>
    <w:p>
      <w:pPr>
        <w:pStyle w:val="ListNumber"/>
        <w:spacing w:after="40"/>
      </w:pPr>
      <w:r>
        <w:t>V2 relit le pack, la réponse, l'invitation et le prospect CRM.</w:t>
      </w:r>
    </w:p>
    <w:p>
      <w:pPr>
        <w:pStyle w:val="ListNumber"/>
        <w:spacing w:after="40"/>
      </w:pPr>
      <w:r>
        <w:t>V2 construit le contexte consolidé dans Build Post-Audit CRM Context.</w:t>
      </w:r>
    </w:p>
    <w:p>
      <w:pPr>
        <w:pStyle w:val="ListNumber"/>
        <w:spacing w:after="40"/>
      </w:pPr>
      <w:r>
        <w:t>V2 génère la fiche Pré-RDV et met à jour post_audit_follow_ups.</w:t>
      </w:r>
    </w:p>
    <w:p>
      <w:pPr>
        <w:pStyle w:val="ListNumber"/>
        <w:spacing w:after="40"/>
      </w:pPr>
      <w:r>
        <w:t>Build Post-Audit Result construit la sortie métier finale.</w:t>
      </w:r>
    </w:p>
    <w:p>
      <w:pPr>
        <w:pStyle w:val="ListNumber"/>
        <w:spacing w:after="40"/>
      </w:pPr>
      <w:r>
        <w:t>V6 transforme cette sortie en ligne commerciale de dashboard.</w:t>
      </w:r>
    </w:p>
    <w:p>
      <w:pPr>
        <w:pStyle w:val="ListNumber"/>
        <w:spacing w:after="40"/>
      </w:pPr>
      <w:r>
        <w:t>La ligne est synchronisée dans Google Sheets.</w:t>
      </w:r>
    </w:p>
    <w:p>
      <w:pPr>
        <w:pStyle w:val="ListNumber"/>
        <w:spacing w:after="40"/>
      </w:pPr>
      <w:r>
        <w:t>Si le score de complétion atteint le seuil défini, l'expert reçoit une notification.</w:t>
      </w:r>
    </w:p>
    <w:p>
      <w:pPr>
        <w:pStyle w:val="Heading1"/>
      </w:pPr>
      <w:r>
        <w:t>5. Nœuds clés à connaître</w:t>
      </w:r>
    </w:p>
    <w:p>
      <w:pPr>
        <w:pStyle w:val="ListBullet"/>
        <w:spacing w:after="40"/>
      </w:pPr>
      <w:r>
        <w:t>Build Post-Audit CRM Context : fusion métier pack + formulaire + CRM.</w:t>
      </w:r>
    </w:p>
    <w:p>
      <w:pPr>
        <w:pStyle w:val="ListBullet"/>
        <w:spacing w:after="40"/>
      </w:pPr>
      <w:r>
        <w:t>Generate Internal Pre-RDV Brief : fiche expert générée par IA.</w:t>
      </w:r>
    </w:p>
    <w:p>
      <w:pPr>
        <w:pStyle w:val="ListBullet"/>
        <w:spacing w:after="40"/>
      </w:pPr>
      <w:r>
        <w:t>Upsert Follow-Up Tracking : suivi structuré dans post_audit_follow_ups.</w:t>
      </w:r>
    </w:p>
    <w:p>
      <w:pPr>
        <w:pStyle w:val="ListBullet"/>
        <w:spacing w:after="40"/>
      </w:pPr>
      <w:r>
        <w:t>Build Post-Audit Result : sortie consolidée V2.</w:t>
      </w:r>
    </w:p>
    <w:p>
      <w:pPr>
        <w:pStyle w:val="ListBullet"/>
        <w:spacing w:after="40"/>
      </w:pPr>
      <w:r>
        <w:t>Build V6 Dashboard Row : formatage des données pour le tableau non-tech.</w:t>
      </w:r>
    </w:p>
    <w:p>
      <w:pPr>
        <w:pStyle w:val="ListBullet"/>
        <w:spacing w:after="40"/>
      </w:pPr>
      <w:r>
        <w:t>Sync Google Sheets Dashboard : écriture ou mise à jour de la ligne dashboard.</w:t>
      </w:r>
    </w:p>
    <w:p>
      <w:pPr>
        <w:pStyle w:val="ListBullet"/>
        <w:spacing w:after="40"/>
      </w:pPr>
      <w:r>
        <w:t>If Expert Notification Enabled : règle de déclenchement d'alerte.</w:t>
      </w:r>
    </w:p>
    <w:p>
      <w:pPr>
        <w:pStyle w:val="ListBullet"/>
        <w:spacing w:after="40"/>
      </w:pPr>
      <w:r>
        <w:t>Send Expert Notification : email expert avec résumé du dossier.</w:t>
      </w:r>
    </w:p>
    <w:p>
      <w:pPr>
        <w:pStyle w:val="ListBullet"/>
        <w:spacing w:after="40"/>
      </w:pPr>
      <w:r>
        <w:t>Build V6 Summary : résumé de succès de la chaîne V6.</w:t>
      </w:r>
    </w:p>
    <w:p>
      <w:pPr>
        <w:pStyle w:val="Heading1"/>
      </w:pPr>
      <w:r>
        <w:t>6. Pré-requis de configuration</w:t>
      </w:r>
    </w:p>
    <w:p>
      <w:pPr>
        <w:pStyle w:val="ListBullet"/>
        <w:spacing w:after="40"/>
      </w:pPr>
      <w:r>
        <w:t>Le workflow V3 doit déjà être opérationnel.</w:t>
      </w:r>
    </w:p>
    <w:p>
      <w:pPr>
        <w:pStyle w:val="ListBullet"/>
        <w:spacing w:after="40"/>
      </w:pPr>
      <w:r>
        <w:t>Le workflow V2 post-audit doit être validé de bout en bout.</w:t>
      </w:r>
    </w:p>
    <w:p>
      <w:pPr>
        <w:pStyle w:val="ListBullet"/>
        <w:spacing w:after="40"/>
      </w:pPr>
      <w:r>
        <w:t>Une feuille Google Sheets doit exister avec l'onglet responses_dashboard.</w:t>
      </w:r>
    </w:p>
    <w:p>
      <w:pPr>
        <w:pStyle w:val="ListBullet"/>
        <w:spacing w:after="40"/>
      </w:pPr>
      <w:r>
        <w:t>Le credential n8n Google Sheets OAuth2 doit être créé.</w:t>
      </w:r>
    </w:p>
    <w:p>
      <w:pPr>
        <w:pStyle w:val="ListBullet"/>
        <w:spacing w:after="40"/>
      </w:pPr>
      <w:r>
        <w:t>La clé RESEND_API_KEY doit être disponible dans n8n.</w:t>
      </w:r>
    </w:p>
    <w:p>
      <w:pPr>
        <w:pStyle w:val="ListBullet"/>
        <w:spacing w:after="40"/>
      </w:pPr>
      <w:r>
        <w:t>Le domaine d'envoi contact@transferai.ci doit rester vérifié dans Resend.</w:t>
      </w:r>
    </w:p>
    <w:p>
      <w:pPr>
        <w:pStyle w:val="Heading2"/>
      </w:pPr>
      <w:r>
        <w:t>6.1 Colonnes recommandées du dashboard Google Sheets</w:t>
      </w:r>
    </w:p>
    <w:p>
      <w:pPr>
        <w:spacing w:after="80"/>
      </w:pPr>
      <w:r>
        <w:t>Pour le MVP V6 retenu, l'onglet responses_dashboard doit contenir une ligne d'en-tête avec les colonnes suivantes :</w:t>
      </w:r>
    </w:p>
    <w:p>
      <w:pPr>
        <w:pStyle w:val="ListBullet"/>
        <w:spacing w:after="40"/>
      </w:pPr>
      <w:r>
        <w:t>response_id</w:t>
      </w:r>
    </w:p>
    <w:p>
      <w:pPr>
        <w:pStyle w:val="ListBullet"/>
        <w:spacing w:after="40"/>
      </w:pPr>
      <w:r>
        <w:t>pack_id</w:t>
      </w:r>
    </w:p>
    <w:p>
      <w:pPr>
        <w:pStyle w:val="ListBullet"/>
        <w:spacing w:after="40"/>
      </w:pPr>
      <w:r>
        <w:t>submitted_at</w:t>
      </w:r>
    </w:p>
    <w:p>
      <w:pPr>
        <w:pStyle w:val="ListBullet"/>
        <w:spacing w:after="40"/>
      </w:pPr>
      <w:r>
        <w:t>organization_name</w:t>
      </w:r>
    </w:p>
    <w:p>
      <w:pPr>
        <w:pStyle w:val="ListBullet"/>
        <w:spacing w:after="40"/>
      </w:pPr>
      <w:r>
        <w:t>decision_maker_name</w:t>
      </w:r>
    </w:p>
    <w:p>
      <w:pPr>
        <w:pStyle w:val="ListBullet"/>
        <w:spacing w:after="40"/>
      </w:pPr>
      <w:r>
        <w:t>target_email</w:t>
      </w:r>
    </w:p>
    <w:p>
      <w:pPr>
        <w:pStyle w:val="ListBullet"/>
        <w:spacing w:after="40"/>
      </w:pPr>
      <w:r>
        <w:t>sector_guess</w:t>
      </w:r>
    </w:p>
    <w:p>
      <w:pPr>
        <w:pStyle w:val="ListBullet"/>
        <w:spacing w:after="40"/>
      </w:pPr>
      <w:r>
        <w:t>maturity_level</w:t>
      </w:r>
    </w:p>
    <w:p>
      <w:pPr>
        <w:pStyle w:val="ListBullet"/>
        <w:spacing w:after="40"/>
      </w:pPr>
      <w:r>
        <w:t>recommended_offer</w:t>
      </w:r>
    </w:p>
    <w:p>
      <w:pPr>
        <w:pStyle w:val="ListBullet"/>
        <w:spacing w:after="40"/>
      </w:pPr>
      <w:r>
        <w:t>completion_percentage</w:t>
      </w:r>
    </w:p>
    <w:p>
      <w:pPr>
        <w:pStyle w:val="ListBullet"/>
        <w:spacing w:after="40"/>
      </w:pPr>
      <w:r>
        <w:t>assigned_expert_email</w:t>
      </w:r>
    </w:p>
    <w:p>
      <w:pPr>
        <w:pStyle w:val="ListBullet"/>
        <w:spacing w:after="40"/>
      </w:pPr>
      <w:r>
        <w:t>workflow_status</w:t>
      </w:r>
    </w:p>
    <w:p>
      <w:pPr>
        <w:pStyle w:val="ListBullet"/>
        <w:spacing w:after="40"/>
      </w:pPr>
      <w:r>
        <w:t>next_action_at</w:t>
      </w:r>
    </w:p>
    <w:p>
      <w:pPr>
        <w:pStyle w:val="ListBullet"/>
        <w:spacing w:after="40"/>
      </w:pPr>
      <w:r>
        <w:t>booking_link</w:t>
      </w:r>
    </w:p>
    <w:p>
      <w:pPr>
        <w:pStyle w:val="ListBullet"/>
        <w:spacing w:after="40"/>
      </w:pPr>
      <w:r>
        <w:t>follow_up_status</w:t>
      </w:r>
    </w:p>
    <w:p>
      <w:pPr>
        <w:pStyle w:val="ListBullet"/>
        <w:spacing w:after="40"/>
      </w:pPr>
      <w:r>
        <w:t>commercial_notes</w:t>
      </w:r>
    </w:p>
    <w:p>
      <w:pPr>
        <w:pStyle w:val="Heading1"/>
      </w:pPr>
      <w:r>
        <w:t>7. Ce que voit un commercial non-tech</w:t>
      </w:r>
    </w:p>
    <w:p>
      <w:pPr>
        <w:spacing w:after="100"/>
      </w:pPr>
      <w:r>
        <w:t>Le commercial n'a pas besoin d'ouvrir Supabase. Le tableau Google Sheets devient sa vue de pilotage. Chaque ligne correspond à une réponse d'audit traitée.</w:t>
      </w:r>
    </w:p>
    <w:p>
      <w:pPr>
        <w:pStyle w:val="ListBullet"/>
        <w:spacing w:after="40"/>
      </w:pPr>
      <w:r>
        <w:t>Organisation et email du prospect</w:t>
      </w:r>
    </w:p>
    <w:p>
      <w:pPr>
        <w:pStyle w:val="ListBullet"/>
        <w:spacing w:after="40"/>
      </w:pPr>
      <w:r>
        <w:t>Secteur et niveau de maturité IA</w:t>
      </w:r>
    </w:p>
    <w:p>
      <w:pPr>
        <w:pStyle w:val="ListBullet"/>
        <w:spacing w:after="40"/>
      </w:pPr>
      <w:r>
        <w:t>Service recommandé</w:t>
      </w:r>
    </w:p>
    <w:p>
      <w:pPr>
        <w:pStyle w:val="ListBullet"/>
        <w:spacing w:after="40"/>
      </w:pPr>
      <w:r>
        <w:t>Expert assigné</w:t>
      </w:r>
    </w:p>
    <w:p>
      <w:pPr>
        <w:pStyle w:val="ListBullet"/>
        <w:spacing w:after="40"/>
      </w:pPr>
      <w:r>
        <w:t>Date de prochaine action</w:t>
      </w:r>
    </w:p>
    <w:p>
      <w:pPr>
        <w:pStyle w:val="ListBullet"/>
        <w:spacing w:after="40"/>
      </w:pPr>
      <w:r>
        <w:t>Statut du suivi</w:t>
      </w:r>
    </w:p>
    <w:p>
      <w:pPr>
        <w:pStyle w:val="ListBullet"/>
        <w:spacing w:after="40"/>
      </w:pPr>
      <w:r>
        <w:t>Champ libre de notes commerciales</w:t>
      </w:r>
    </w:p>
    <w:p>
      <w:pPr>
        <w:pStyle w:val="Heading1"/>
      </w:pPr>
      <w:r>
        <w:t>8. Ce que voit un expert</w:t>
      </w:r>
    </w:p>
    <w:p>
      <w:pPr>
        <w:spacing w:after="100"/>
      </w:pPr>
      <w:r>
        <w:t>L'expert continue de recevoir la fiche Pré-RDV issue de V2. V6 lui ajoute une notification lisible et un point d'entrée vers le tableau de suivi.</w:t>
      </w:r>
    </w:p>
    <w:p>
      <w:pPr>
        <w:pStyle w:val="ListBullet"/>
        <w:spacing w:after="40"/>
      </w:pPr>
      <w:r>
        <w:t>Organisation</w:t>
      </w:r>
    </w:p>
    <w:p>
      <w:pPr>
        <w:pStyle w:val="ListBullet"/>
        <w:spacing w:after="40"/>
      </w:pPr>
      <w:r>
        <w:t>Secteur</w:t>
      </w:r>
    </w:p>
    <w:p>
      <w:pPr>
        <w:pStyle w:val="ListBullet"/>
        <w:spacing w:after="40"/>
      </w:pPr>
      <w:r>
        <w:t>Maturité IA</w:t>
      </w:r>
    </w:p>
    <w:p>
      <w:pPr>
        <w:pStyle w:val="ListBullet"/>
        <w:spacing w:after="40"/>
      </w:pPr>
      <w:r>
        <w:t>Service recommandé</w:t>
      </w:r>
    </w:p>
    <w:p>
      <w:pPr>
        <w:pStyle w:val="ListBullet"/>
        <w:spacing w:after="40"/>
      </w:pPr>
      <w:r>
        <w:t>Niveau de complétion</w:t>
      </w:r>
    </w:p>
    <w:p>
      <w:pPr>
        <w:pStyle w:val="ListBullet"/>
        <w:spacing w:after="40"/>
      </w:pPr>
      <w:r>
        <w:t>Email prospect</w:t>
      </w:r>
    </w:p>
    <w:p>
      <w:pPr>
        <w:pStyle w:val="ListBullet"/>
        <w:spacing w:after="40"/>
      </w:pPr>
      <w:r>
        <w:t>Date de prochaine action</w:t>
      </w:r>
    </w:p>
    <w:p>
      <w:pPr>
        <w:pStyle w:val="Heading1"/>
      </w:pPr>
      <w:r>
        <w:t>9. Procédure de test recommandée</w:t>
      </w:r>
    </w:p>
    <w:p>
      <w:pPr>
        <w:pStyle w:val="ListNumber"/>
        <w:spacing w:after="40"/>
      </w:pPr>
      <w:r>
        <w:t>Soumettre un formulaire d'audit complet ou quasi complet.</w:t>
      </w:r>
    </w:p>
    <w:p>
      <w:pPr>
        <w:pStyle w:val="ListNumber"/>
        <w:spacing w:after="40"/>
      </w:pPr>
      <w:r>
        <w:t>Vérifier que V2 se termine avec status = post_audit_processed.</w:t>
      </w:r>
    </w:p>
    <w:p>
      <w:pPr>
        <w:pStyle w:val="ListNumber"/>
        <w:spacing w:after="40"/>
      </w:pPr>
      <w:r>
        <w:t>Vérifier que Build V6 Dashboard Row contient les champs attendus.</w:t>
      </w:r>
    </w:p>
    <w:p>
      <w:pPr>
        <w:pStyle w:val="ListNumber"/>
        <w:spacing w:after="40"/>
      </w:pPr>
      <w:r>
        <w:t>Vérifier que la ligne apparaît ou se met à jour dans Google Sheets.</w:t>
      </w:r>
    </w:p>
    <w:p>
      <w:pPr>
        <w:pStyle w:val="ListNumber"/>
        <w:spacing w:after="40"/>
      </w:pPr>
      <w:r>
        <w:t>Vérifier que la notification expert part si la règle est satisfaite.</w:t>
      </w:r>
    </w:p>
    <w:p>
      <w:pPr>
        <w:pStyle w:val="ListNumber"/>
        <w:spacing w:after="40"/>
      </w:pPr>
      <w:r>
        <w:t>Contrôler que Build V6 Summary retourne status = v6_sync_completed.</w:t>
      </w:r>
    </w:p>
    <w:p>
      <w:pPr>
        <w:pStyle w:val="Heading1"/>
      </w:pPr>
      <w:r>
        <w:t>10. Critères d'acceptation V2 + V6</w:t>
      </w:r>
    </w:p>
    <w:p>
      <w:pPr>
        <w:pStyle w:val="ListBullet"/>
        <w:spacing w:after="40"/>
      </w:pPr>
      <w:r>
        <w:t>Une réponse d'audit traitée crée ou met à jour une ligne dashboard.</w:t>
      </w:r>
    </w:p>
    <w:p>
      <w:pPr>
        <w:pStyle w:val="ListBullet"/>
        <w:spacing w:after="40"/>
      </w:pPr>
      <w:r>
        <w:t>Le dashboard est lisible par un commercial non-tech.</w:t>
      </w:r>
    </w:p>
    <w:p>
      <w:pPr>
        <w:pStyle w:val="ListBullet"/>
        <w:spacing w:after="40"/>
      </w:pPr>
      <w:r>
        <w:t>L'expert reçoit l'alerte selon la règle métier retenue.</w:t>
      </w:r>
    </w:p>
    <w:p>
      <w:pPr>
        <w:pStyle w:val="ListBullet"/>
        <w:spacing w:after="40"/>
      </w:pPr>
      <w:r>
        <w:t>Le suivi Supabase et le dashboard restent cohérents.</w:t>
      </w:r>
    </w:p>
    <w:p>
      <w:pPr>
        <w:pStyle w:val="ListBullet"/>
        <w:spacing w:after="40"/>
      </w:pPr>
      <w:r>
        <w:t>Aucune étape ne dépend d'une lecture manuelle dans Supabase pour l'usage courant.</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2E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52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A56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2E4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