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E4B"/>
          <w:sz w:val="44"/>
        </w:rPr>
        <w:t>Guide Utilisateur</w:t>
      </w:r>
    </w:p>
    <w:p>
      <w:pPr>
        <w:jc w:val="center"/>
      </w:pPr>
      <w:r>
        <w:rPr>
          <w:rFonts w:ascii="Arial" w:hAnsi="Arial"/>
          <w:i/>
          <w:color w:val="5A5A5A"/>
          <w:sz w:val="21"/>
        </w:rPr>
        <w:t>Configuration et processus d'envoi du workflow n8n TransferAI</w:t>
      </w:r>
    </w:p>
    <w:tbl>
      <w:tblPr>
        <w:tblStyle w:val="TableGrid"/>
        <w:tblW w:type="auto" w:w="0"/>
        <w:tblLayout w:type="fixed"/>
        <w:tblLook w:firstColumn="1" w:firstRow="1" w:lastColumn="0" w:lastRow="0" w:noHBand="0" w:noVBand="1" w:val="04A0"/>
      </w:tblPr>
      <w:tblGrid>
        <w:gridCol w:w="2592"/>
        <w:gridCol w:w="7056"/>
      </w:tblGrid>
      <w:tr>
        <w:tc>
          <w:tcPr>
            <w:tcW w:type="dxa" w:w="4968"/>
          </w:tcPr>
          <w:p/>
        </w:tc>
        <w:tc>
          <w:tcPr>
            <w:tcW w:type="dxa" w:w="4968"/>
          </w:tcPr>
          <w:p/>
        </w:tc>
      </w:tr>
    </w:tbl>
    <w:tbl>
      <w:tblPr>
        <w:tblW w:type="auto" w:w="0"/>
        <w:tblLayout w:type="fixed"/>
        <w:tblLook w:firstColumn="1" w:firstRow="1" w:lastColumn="0" w:lastRow="0" w:noHBand="0" w:noVBand="1" w:val="04A0"/>
      </w:tblPr>
      <w:tblGrid>
        <w:gridCol w:w="4968"/>
        <w:gridCol w:w="4968"/>
      </w:tblGrid>
      <w:tr>
        <w:tc>
          <w:tcPr>
            <w:tcW w:type="dxa" w:w="2448"/>
            <w:shd w:fill="DDEBF7"/>
          </w:tcPr>
          <w:p>
            <w:r>
              <w:t>Projet</w:t>
            </w:r>
          </w:p>
        </w:tc>
        <w:tc>
          <w:tcPr>
            <w:tcW w:type="dxa" w:w="7776"/>
          </w:tcPr>
          <w:p>
            <w:r>
              <w:t>Workflow n8n TransferAI Prospecting V3 CRM Enhanced</w:t>
            </w:r>
          </w:p>
        </w:tc>
      </w:tr>
      <w:tr>
        <w:tc>
          <w:tcPr>
            <w:tcW w:type="dxa" w:w="2448"/>
            <w:shd w:fill="DDEBF7"/>
          </w:tcPr>
          <w:p>
            <w:r>
              <w:t>Date</w:t>
            </w:r>
          </w:p>
        </w:tc>
        <w:tc>
          <w:tcPr>
            <w:tcW w:type="dxa" w:w="7776"/>
          </w:tcPr>
          <w:p>
            <w:r>
              <w:t>05 juin 2026</w:t>
            </w:r>
          </w:p>
        </w:tc>
      </w:tr>
      <w:tr>
        <w:tc>
          <w:tcPr>
            <w:tcW w:type="dxa" w:w="2448"/>
            <w:shd w:fill="DDEBF7"/>
          </w:tcPr>
          <w:p>
            <w:r>
              <w:t>Portee</w:t>
            </w:r>
          </w:p>
        </w:tc>
        <w:tc>
          <w:tcPr>
            <w:tcW w:type="dxa" w:w="7776"/>
          </w:tcPr>
          <w:p>
            <w:r>
              <w:t>Guide operatoire et guide de resolution des incidents</w:t>
            </w:r>
          </w:p>
        </w:tc>
      </w:tr>
    </w:tbl>
    <w:p/>
    <w:p>
      <w:pPr>
        <w:pStyle w:val="Heading1"/>
      </w:pPr>
      <w:r>
        <w:t>1. Objectif du workflow</w:t>
      </w:r>
    </w:p>
    <w:p>
      <w:pPr>
        <w:spacing w:after="100"/>
      </w:pPr>
      <w:r>
        <w:t>Le workflow sert a construire un pack prospect personnalise, a demander une validation interne, puis a envoyer au prospect un courrier accompagne d'un lien de formulaire d'audit pre-RDV et de deux pieces jointes.</w:t>
      </w:r>
    </w:p>
    <w:p>
      <w:pPr>
        <w:pStyle w:val="ListBullet"/>
        <w:spacing w:after="40"/>
      </w:pPr>
      <w:r>
        <w:t>Courrier executif personnalise</w:t>
      </w:r>
    </w:p>
    <w:p>
      <w:pPr>
        <w:pStyle w:val="ListBullet"/>
        <w:spacing w:after="40"/>
      </w:pPr>
      <w:r>
        <w:t>Mini-catalogue PDF</w:t>
      </w:r>
    </w:p>
    <w:p>
      <w:pPr>
        <w:pStyle w:val="ListBullet"/>
        <w:spacing w:after="40"/>
      </w:pPr>
      <w:r>
        <w:t>Brief deck PPTX</w:t>
      </w:r>
    </w:p>
    <w:p>
      <w:pPr>
        <w:pStyle w:val="ListBullet"/>
        <w:spacing w:after="40"/>
      </w:pPr>
      <w:r>
        <w:t>Lien du formulaire d'audit pre-RDV</w:t>
      </w:r>
    </w:p>
    <w:p>
      <w:pPr>
        <w:pStyle w:val="Heading1"/>
      </w:pPr>
      <w:r>
        <w:t>2. Configuration realisee</w:t>
      </w:r>
    </w:p>
    <w:p>
      <w:pPr>
        <w:pStyle w:val="ListBullet"/>
        <w:spacing w:after="40"/>
      </w:pPr>
      <w:r>
        <w:t>Suppression des dependances fragiles a $env dans les noeuds OpenAI.</w:t>
      </w:r>
    </w:p>
    <w:p>
      <w:pPr>
        <w:pStyle w:val="ListBullet"/>
        <w:spacing w:after="40"/>
      </w:pPr>
      <w:r>
        <w:t>Suppression des anciens fallbacks locaux 127.0.0.1 et _reload=7.</w:t>
      </w:r>
    </w:p>
    <w:p>
      <w:pPr>
        <w:pStyle w:val="ListBullet"/>
        <w:spacing w:after="40"/>
      </w:pPr>
      <w:r>
        <w:t>Standardisation du lien de formulaire sur https://www.transferai.ci/questionnaire-audit?pack_id=...</w:t>
      </w:r>
    </w:p>
    <w:p>
      <w:pPr>
        <w:pStyle w:val="ListBullet"/>
        <w:spacing w:after="40"/>
      </w:pPr>
      <w:r>
        <w:t>Correction des noeuds de generation de contenu, d'assemblage du pack et de la branche d'approbation.</w:t>
      </w:r>
    </w:p>
    <w:p>
      <w:pPr>
        <w:pStyle w:val="ListBullet"/>
        <w:spacing w:after="40"/>
      </w:pPr>
      <w:r>
        <w:t>Configuration d'un expediteur Resend valide sur le domaine transferai.ci.</w:t>
      </w:r>
    </w:p>
    <w:p>
      <w:pPr>
        <w:pStyle w:val="Heading1"/>
      </w:pPr>
      <w:r>
        <w:t>3. Parcours complet d'envoi</w:t>
      </w:r>
    </w:p>
    <w:p>
      <w:pPr>
        <w:pStyle w:val="ListNumber"/>
        <w:spacing w:after="40"/>
      </w:pPr>
      <w:r>
        <w:t>Le workflow demarre depuis Manual Trigger.</w:t>
      </w:r>
    </w:p>
    <w:p>
      <w:pPr>
        <w:pStyle w:val="ListNumber"/>
        <w:spacing w:after="40"/>
      </w:pPr>
      <w:r>
        <w:t>Les informations du prospect sont preparees dans Set Target puis enrichies par les pages publiques.</w:t>
      </w:r>
    </w:p>
    <w:p>
      <w:pPr>
        <w:pStyle w:val="ListNumber"/>
        <w:spacing w:after="40"/>
      </w:pPr>
      <w:r>
        <w:t>Le contexte prospect est assemble dans Assemble Prospect Context.</w:t>
      </w:r>
    </w:p>
    <w:p>
      <w:pPr>
        <w:pStyle w:val="ListNumber"/>
        <w:spacing w:after="40"/>
      </w:pPr>
      <w:r>
        <w:t>Les noeuds Generate Executive Letter, Generate Tailored Catalogue, Generate Tailored Audit Form et Generate Deck Brief produisent les contenus IA.</w:t>
      </w:r>
    </w:p>
    <w:p>
      <w:pPr>
        <w:pStyle w:val="ListNumber"/>
        <w:spacing w:after="40"/>
      </w:pPr>
      <w:r>
        <w:t>Assemble Prospect Pack cree le pack final avec le pack_id et le lien audit_form_url.</w:t>
      </w:r>
    </w:p>
    <w:p>
      <w:pPr>
        <w:pStyle w:val="ListNumber"/>
        <w:spacing w:after="40"/>
      </w:pPr>
      <w:r>
        <w:t>Les artefacts documentaires sont rendus puis stockes avec le pack dans Supabase.</w:t>
      </w:r>
    </w:p>
    <w:p>
      <w:pPr>
        <w:pStyle w:val="ListNumber"/>
        <w:spacing w:after="40"/>
      </w:pPr>
      <w:r>
        <w:t>Build Approval Email envoie un mail interne de validation avec les liens Approuver et envoyer / Rejeter.</w:t>
      </w:r>
    </w:p>
    <w:p>
      <w:pPr>
        <w:pStyle w:val="ListNumber"/>
        <w:spacing w:after="40"/>
      </w:pPr>
      <w:r>
        <w:t>Au clic sur Approuver et envoyer, Approval Webhook declenche la branche d'approbation.</w:t>
      </w:r>
    </w:p>
    <w:p>
      <w:pPr>
        <w:pStyle w:val="ListNumber"/>
        <w:spacing w:after="40"/>
      </w:pPr>
      <w:r>
        <w:t>Extract Pack Payload relit le pack stocke dans Supabase.</w:t>
      </w:r>
    </w:p>
    <w:p>
      <w:pPr>
        <w:pStyle w:val="ListNumber"/>
        <w:spacing w:after="40"/>
      </w:pPr>
      <w:r>
        <w:t>Build Send Context prepare le mail prospect final, reconstruit les pieces jointes et ajoute le bloc du formulaire.</w:t>
      </w:r>
    </w:p>
    <w:p>
      <w:pPr>
        <w:pStyle w:val="ListNumber"/>
        <w:spacing w:after="40"/>
      </w:pPr>
      <w:r>
        <w:t>If Ready To Send verifie que l'email, le courrier, le PDF et le PPTX sont bien disponibles.</w:t>
      </w:r>
    </w:p>
    <w:p>
      <w:pPr>
        <w:pStyle w:val="ListNumber"/>
        <w:spacing w:after="40"/>
      </w:pPr>
      <w:r>
        <w:t>Send External Prospect Email envoie le mail final au prospect.</w:t>
      </w:r>
    </w:p>
    <w:p>
      <w:pPr>
        <w:pStyle w:val="Heading1"/>
      </w:pPr>
      <w:r>
        <w:t>4. Ce que recoit le prospect</w:t>
      </w:r>
    </w:p>
    <w:p>
      <w:pPr>
        <w:spacing w:after="100"/>
      </w:pPr>
      <w:r>
        <w:t>Le workflow actuel envoie le pack des l'approbation interne. Il n'attend pas la soumission du formulaire pour envoyer les documents.</w:t>
      </w:r>
    </w:p>
    <w:p>
      <w:pPr>
        <w:pStyle w:val="ListBullet"/>
        <w:spacing w:after="40"/>
      </w:pPr>
      <w:r>
        <w:t>Le courrier personnalise</w:t>
      </w:r>
    </w:p>
    <w:p>
      <w:pPr>
        <w:pStyle w:val="ListBullet"/>
        <w:spacing w:after="40"/>
      </w:pPr>
      <w:r>
        <w:t>Le lien du formulaire d'audit pre-RDV</w:t>
      </w:r>
    </w:p>
    <w:p>
      <w:pPr>
        <w:pStyle w:val="ListBullet"/>
        <w:spacing w:after="40"/>
      </w:pPr>
      <w:r>
        <w:t>Le mini-catalogue PDF en piece jointe</w:t>
      </w:r>
    </w:p>
    <w:p>
      <w:pPr>
        <w:pStyle w:val="ListBullet"/>
        <w:spacing w:after="40"/>
      </w:pPr>
      <w:r>
        <w:t>Le deck PPTX en piece jointe</w:t>
      </w:r>
    </w:p>
    <w:p>
      <w:pPr>
        <w:pStyle w:val="Heading1"/>
      </w:pPr>
      <w:r>
        <w:t>5. Verifications de fonctionnement</w:t>
      </w:r>
    </w:p>
    <w:p>
      <w:pPr>
        <w:pStyle w:val="ListBullet"/>
        <w:spacing w:after="40"/>
      </w:pPr>
      <w:r>
        <w:t>Dans Build Send Context, verifier attachments_count = 2.</w:t>
      </w:r>
    </w:p>
    <w:p>
      <w:pPr>
        <w:pStyle w:val="ListBullet"/>
        <w:spacing w:after="40"/>
      </w:pPr>
      <w:r>
        <w:t>Verifier can_send = true et send_failure_reason = null.</w:t>
      </w:r>
    </w:p>
    <w:p>
      <w:pPr>
        <w:pStyle w:val="ListBullet"/>
        <w:spacing w:after="40"/>
      </w:pPr>
      <w:r>
        <w:t>Dans Send External Prospect Email, verifier la presence d'un id Resend dans la reponse.</w:t>
      </w:r>
    </w:p>
    <w:p>
      <w:pPr>
        <w:pStyle w:val="ListBullet"/>
        <w:spacing w:after="40"/>
      </w:pPr>
      <w:r>
        <w:t>Dans Gmail, verifier les deux pieces jointes sur le message prospect.</w:t>
      </w:r>
    </w:p>
    <w:p>
      <w:pPr>
        <w:pStyle w:val="ListBullet"/>
        <w:spacing w:after="40"/>
      </w:pPr>
      <w:r>
        <w:t>Dans Resend, verifier que le domaine transferai.ci est bien marque Verified.</w:t>
      </w:r>
    </w:p>
    <w:p>
      <w:pPr>
        <w:pStyle w:val="Heading1"/>
      </w:pPr>
      <w:r>
        <w:t>6. Limite restante</w:t>
      </w:r>
    </w:p>
    <w:p>
      <w:pPr>
        <w:spacing w:after="100"/>
      </w:pPr>
      <w:r>
        <w:t>Le lien du formulaire est maintenant correctement genere dans n8n. Si la page publique retourne encore une 404, le probleme ne vient plus du workflow mais du deploiement du frontend public de transferai.ci.</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E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2E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