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E4B"/>
          <w:sz w:val="44"/>
        </w:rPr>
        <w:t>Troubleshooting Guide V2 + V6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Incidents, diagnostics et résolutions pour le workflow post-audit et le dashboard Google Sheets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DDEBF7"/>
          </w:tcPr>
          <w:p>
            <w:r>
              <w:t>Projet</w:t>
            </w:r>
          </w:p>
        </w:tc>
        <w:tc>
          <w:tcPr>
            <w:tcW w:type="dxa" w:w="7920"/>
          </w:tcPr>
          <w:p>
            <w:r>
              <w:t>Workflow Post-Audit CRM-Aware V2 + V6 Dashboard</w:t>
            </w:r>
          </w:p>
        </w:tc>
      </w:tr>
      <w:tr>
        <w:tc>
          <w:tcPr>
            <w:tcW w:type="dxa" w:w="2304"/>
            <w:shd w:fill="DDEBF7"/>
          </w:tcPr>
          <w:p>
            <w:r>
              <w:t>Date</w:t>
            </w:r>
          </w:p>
        </w:tc>
        <w:tc>
          <w:tcPr>
            <w:tcW w:type="dxa" w:w="7920"/>
          </w:tcPr>
          <w:p>
            <w:r>
              <w:t>07 juin 2026</w:t>
            </w:r>
          </w:p>
        </w:tc>
      </w:tr>
      <w:tr>
        <w:tc>
          <w:tcPr>
            <w:tcW w:type="dxa" w:w="2304"/>
            <w:shd w:fill="DDEBF7"/>
          </w:tcPr>
          <w:p>
            <w:r>
              <w:t>Portée</w:t>
            </w:r>
          </w:p>
        </w:tc>
        <w:tc>
          <w:tcPr>
            <w:tcW w:type="dxa" w:w="7920"/>
          </w:tcPr>
          <w:p>
            <w:r>
              <w:t>Guide de résolution des incidents pour équipes techniques et référents n8n.</w:t>
            </w:r>
          </w:p>
        </w:tc>
      </w:tr>
    </w:tbl>
    <w:p/>
    <w:p>
      <w:pPr>
        <w:pStyle w:val="Heading1"/>
      </w:pPr>
      <w:r>
        <w:t>1. Objet du guide</w:t>
      </w:r>
    </w:p>
    <w:p>
      <w:pPr>
        <w:spacing w:after="100"/>
      </w:pPr>
      <w:r>
        <w:t>Ce guide recense les incidents les plus probables sur la chaîne V2 + V6 et la méthode de résolution associée. Il part du principe que le formulaire d'audit dynamique et la V3 ont déjà été stabilisés.</w:t>
      </w:r>
    </w:p>
    <w:p>
      <w:pPr>
        <w:pStyle w:val="Heading1"/>
      </w:pPr>
      <w:r>
        <w:t>2. Points de contrôle rapides</w:t>
      </w:r>
    </w:p>
    <w:p>
      <w:pPr>
        <w:pStyle w:val="ListBullet"/>
        <w:spacing w:after="40"/>
      </w:pPr>
      <w:r>
        <w:t>Le formulaire prospect soumet bien ses réponses dans form_responses.</w:t>
      </w:r>
    </w:p>
    <w:p>
      <w:pPr>
        <w:pStyle w:val="ListBullet"/>
        <w:spacing w:after="40"/>
      </w:pPr>
      <w:r>
        <w:t>Le workflow V2 passe par Build Post-Audit Result sans erreur.</w:t>
      </w:r>
    </w:p>
    <w:p>
      <w:pPr>
        <w:pStyle w:val="ListBullet"/>
        <w:spacing w:after="40"/>
      </w:pPr>
      <w:r>
        <w:t>Build V6 Dashboard Row produit un payload complet.</w:t>
      </w:r>
    </w:p>
    <w:p>
      <w:pPr>
        <w:pStyle w:val="ListBullet"/>
        <w:spacing w:after="40"/>
      </w:pPr>
      <w:r>
        <w:t>Google Sheets reçoit bien la ligne response_id / pack_id.</w:t>
      </w:r>
    </w:p>
    <w:p>
      <w:pPr>
        <w:pStyle w:val="ListBullet"/>
        <w:spacing w:after="40"/>
      </w:pPr>
      <w:r>
        <w:t>Le seuil de notification expert est conforme à la règle choisie.</w:t>
      </w:r>
    </w:p>
    <w:p>
      <w:pPr>
        <w:pStyle w:val="Heading2"/>
      </w:pPr>
      <w:r>
        <w:t>3.1 V2 ne se déclenche pas après soumission du formulaire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prospect soumet le formulaire mais aucun traitement post-audit n'apparaît dans n8n.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Webhook ou déclencheur post-audit non appelé, ou payload de save-form-response incomplet.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Vérifier la configuration du webhook/trigger post-audit, confirmer que save-form-response envoie bien l'événement attendu, puis relancer un test avec un pack_id réel.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Une nouvelle exécution V2 apparaît immédiatement après une soumission de formulaire.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3.2 Build Post-Audit CRM Context est incomplet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workflow V2 démarre mais organisation, email, secteur ou maturité sont vides dans la suite du traitement.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Jointure incomplète entre pack, réponse formulaire, invitation ou prospect CRM.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Vérifier les sorties de Extract Pack Row, Extract Latest Form Response, Extract Invitation Row et Extract Prospect Target Row. Corriger les fallbacks dans Build Post-Audit CRM Context si un champ a changé de nom.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Build Post-Audit CRM Context contient bien organization_name, target_email, sector_guess, maturity_level et pack_id.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3.3 La fiche Pré-RDV n'est pas envoyée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contexte est construit mais l'expert ne reçoit pas la fiche interne.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Échec OpenAI, échec Resend, ou internal_email_to vide.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Vérifier Generate Internal Pre-RDV Brief, Send Internal Brief Email, la clé RESEND_API_KEY et la valeur internal_email_to. Tester avec un destinataire interne en dur pour isoler l'incident.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Build Post-Audit Result contient un resend_id et status = post_audit_processed.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3.4 La ligne n'apparaît pas dans Google Sheets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V2 se termine correctement mais aucun enregistrement n'apparaît dans le dashboard.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Credential Google Sheets absent, mauvais document ID, mauvais nom d'onglet, ou mapping cassé.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Vérifier le credential Google Sheets, l'ID du fichier, l'onglet responses_dashboard et les permissions du compte Google. Rejouer Build V6 Dashboard Row puis Sync Google Sheets Dashboard.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La ligne est créée ou mise à jour dans l'onglet responses_dashboard avec response_id comme clé.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3.5 La ligne est créée mais les colonnes sont décalées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Les données arrivent dans Google Sheets mais dans les mauvaises colonnes ou de manière illisible.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Entêtes non conformes au mapping V6 ou changement manuel dans la feuille.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Réinitialiser la ligne d'en-tête du dashboard avec les colonnes validées, puis revalider le mapping du nœud Google Sheets.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Chaque champ se range dans la bonne colonne après un nouvel envoi de test.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3.6 La notification expert ne part pas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dashboard est mis à jour mais aucun email expert n'est reçu.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La règle du nœud If n'est pas satisfaite, assigned_expert_email est vide, ou la requête Resend échoue.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Vérifier la règle métier choisie pour If Expert Notification Enabled, contrôler assigned_expert_email et inspecter la réponse du nœud Send Expert Notification.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Quand la règle est vraie, Send Expert Notification retourne un id Resend.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Résolu</w:t>
            </w:r>
          </w:p>
        </w:tc>
      </w:tr>
    </w:tbl>
    <w:p/>
    <w:p>
      <w:pPr>
        <w:pStyle w:val="Heading2"/>
      </w:pPr>
      <w:r>
        <w:t>3.7 Un commercial non-tech ne comprend pas le tableau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dashboard est techniquement rempli mais difficilement exploitable par les équipes commerciales.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Colonnes trop techniques, absence de statuts lisibles, ou trop d'informations brutes.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Réduire la vue à une liste métier courte, ajouter filtres et couleurs dans Google Sheets, et documenter les statuts follow_up_status et workflow_status.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Un commercial peut comprendre qui a répondu, quel service est recommandé et quelle est la prochaine action sans ouvrir Supabase.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À surveiller</w:t>
            </w:r>
          </w:p>
        </w:tc>
      </w:tr>
    </w:tbl>
    <w:p/>
    <w:p>
      <w:pPr>
        <w:pStyle w:val="Heading2"/>
      </w:pPr>
      <w:r>
        <w:t>3.8 La cohérence entre Supabase et Google Sheets dérive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</w:tcPr>
          <w:p>
            <w:r>
              <w:t>Symptôme</w:t>
            </w:r>
          </w:p>
        </w:tc>
        <w:tc>
          <w:tcPr>
            <w:tcW w:type="dxa" w:w="8064"/>
          </w:tcPr>
          <w:p>
            <w:r>
              <w:t>Le tableau montre un état différent du suivi dans post_audit_follow_ups ou prospect_targets.</w:t>
            </w:r>
          </w:p>
        </w:tc>
      </w:tr>
      <w:tr>
        <w:tc>
          <w:tcPr>
            <w:tcW w:type="dxa" w:w="2160"/>
            <w:shd w:fill="EAF2F8"/>
          </w:tcPr>
          <w:p>
            <w:r>
              <w:t>Cause</w:t>
            </w:r>
          </w:p>
        </w:tc>
        <w:tc>
          <w:tcPr>
            <w:tcW w:type="dxa" w:w="8064"/>
          </w:tcPr>
          <w:p>
            <w:r>
              <w:t>Le dashboard est alimenté mais les règles de mise à jour ou de réexécution ne sont pas clairement définies.</w:t>
            </w:r>
          </w:p>
        </w:tc>
      </w:tr>
      <w:tr>
        <w:tc>
          <w:tcPr>
            <w:tcW w:type="dxa" w:w="2160"/>
            <w:shd w:fill="EAF2F8"/>
          </w:tcPr>
          <w:p>
            <w:r>
              <w:t>Résolution</w:t>
            </w:r>
          </w:p>
        </w:tc>
        <w:tc>
          <w:tcPr>
            <w:tcW w:type="dxa" w:w="8064"/>
          </w:tcPr>
          <w:p>
            <w:r>
              <w:t>Définir response_id comme clé primaire du dashboard, figer les statuts métier, et documenter les cas de rerun manuel ou de reconciliation.</w:t>
            </w:r>
          </w:p>
        </w:tc>
      </w:tr>
      <w:tr>
        <w:tc>
          <w:tcPr>
            <w:tcW w:type="dxa" w:w="2160"/>
            <w:shd w:fill="EAF2F8"/>
          </w:tcPr>
          <w:p>
            <w:r>
              <w:t>Vérification</w:t>
            </w:r>
          </w:p>
        </w:tc>
        <w:tc>
          <w:tcPr>
            <w:tcW w:type="dxa" w:w="8064"/>
          </w:tcPr>
          <w:p>
            <w:r>
              <w:t>Une nouvelle réponse ou un rerun met à jour la bonne ligne sans dupliquer les dossiers.</w:t>
            </w:r>
          </w:p>
        </w:tc>
      </w:tr>
      <w:tr>
        <w:tc>
          <w:tcPr>
            <w:tcW w:type="dxa" w:w="2160"/>
            <w:shd w:fill="EAF2F8"/>
          </w:tcPr>
          <w:p>
            <w:r>
              <w:t>Statut</w:t>
            </w:r>
          </w:p>
        </w:tc>
        <w:tc>
          <w:tcPr>
            <w:tcW w:type="dxa" w:w="8064"/>
          </w:tcPr>
          <w:p>
            <w:r>
              <w:t>À surveiller</w:t>
            </w:r>
          </w:p>
        </w:tc>
      </w:tr>
    </w:tbl>
    <w:p/>
    <w:p>
      <w:pPr>
        <w:pStyle w:val="Heading1"/>
      </w:pPr>
      <w:r>
        <w:t>4. Checklist de reprise d'incident</w:t>
      </w:r>
    </w:p>
    <w:p>
      <w:pPr>
        <w:pStyle w:val="ListNumber"/>
        <w:spacing w:after="40"/>
      </w:pPr>
      <w:r>
        <w:t>Vérifier que le prospect a bien soumis une réponse exploitable.</w:t>
      </w:r>
    </w:p>
    <w:p>
      <w:pPr>
        <w:pStyle w:val="ListNumber"/>
        <w:spacing w:after="40"/>
      </w:pPr>
      <w:r>
        <w:t>Confirmer que V2 a démarré et atteint Build Post-Audit Result.</w:t>
      </w:r>
    </w:p>
    <w:p>
      <w:pPr>
        <w:pStyle w:val="ListNumber"/>
        <w:spacing w:after="40"/>
      </w:pPr>
      <w:r>
        <w:t>Vérifier les champs de sortie de Build V6 Dashboard Row.</w:t>
      </w:r>
    </w:p>
    <w:p>
      <w:pPr>
        <w:pStyle w:val="ListNumber"/>
        <w:spacing w:after="40"/>
      </w:pPr>
      <w:r>
        <w:t>Tester Sync Google Sheets Dashboard isolément si nécessaire.</w:t>
      </w:r>
    </w:p>
    <w:p>
      <w:pPr>
        <w:pStyle w:val="ListNumber"/>
        <w:spacing w:after="40"/>
      </w:pPr>
      <w:r>
        <w:t>Tester Send Expert Notification séparément si la ligne dashboard existe déjà.</w:t>
      </w:r>
    </w:p>
    <w:p>
      <w:pPr>
        <w:pStyle w:val="ListNumber"/>
        <w:spacing w:after="40"/>
      </w:pPr>
      <w:r>
        <w:t>Contrôler le résumé Build V6 Summary pour confirmer l'état final.</w:t>
      </w:r>
    </w:p>
    <w:p>
      <w:pPr>
        <w:pStyle w:val="Heading1"/>
      </w:pPr>
      <w:r>
        <w:t>5. Résultat attendu après stabilisation</w:t>
      </w:r>
    </w:p>
    <w:p>
      <w:pPr>
        <w:pStyle w:val="ListBullet"/>
        <w:spacing w:after="40"/>
      </w:pPr>
      <w:r>
        <w:t>V2 traite systématiquement chaque audit utile.</w:t>
      </w:r>
    </w:p>
    <w:p>
      <w:pPr>
        <w:pStyle w:val="ListBullet"/>
        <w:spacing w:after="40"/>
      </w:pPr>
      <w:r>
        <w:t>V6 reflète les réponses dans un tableau simple et actionnable.</w:t>
      </w:r>
    </w:p>
    <w:p>
      <w:pPr>
        <w:pStyle w:val="ListBullet"/>
        <w:spacing w:after="40"/>
      </w:pPr>
      <w:r>
        <w:t>Les experts sont prévenus à temps.</w:t>
      </w:r>
    </w:p>
    <w:p>
      <w:pPr>
        <w:pStyle w:val="ListBullet"/>
        <w:spacing w:after="40"/>
      </w:pPr>
      <w:r>
        <w:t>Les commerciaux non-tech travaillent sans dépendre de Supabase.</w:t>
      </w:r>
    </w:p>
    <w:p>
      <w:pPr>
        <w:pStyle w:val="ListBullet"/>
        <w:spacing w:after="40"/>
      </w:pPr>
      <w:r>
        <w:t>Le système est prêt pour une future V7 de dashboard natif Supabase.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E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2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A5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E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