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CDD4" w14:textId="77777777" w:rsidR="005B0343" w:rsidRDefault="00000000">
      <w:pPr>
        <w:spacing w:before="320" w:after="80"/>
      </w:pPr>
      <w:r>
        <w:rPr>
          <w:rFonts w:ascii="Calibri" w:hAnsi="Calibri"/>
          <w:b/>
          <w:color w:val="E87E04"/>
          <w:sz w:val="44"/>
        </w:rPr>
        <w:t>Pipeline de Prospection IA TransferAI Africa</w:t>
      </w:r>
    </w:p>
    <w:p w14:paraId="321EF4CA" w14:textId="77777777" w:rsidR="005B0343" w:rsidRDefault="00000000">
      <w:pPr>
        <w:pBdr>
          <w:bottom w:val="single" w:sz="6" w:space="1" w:color="E87E04"/>
        </w:pBdr>
        <w:spacing w:before="400" w:after="80"/>
      </w:pPr>
      <w:r>
        <w:rPr>
          <w:rFonts w:ascii="Calibri" w:hAnsi="Calibri"/>
          <w:b/>
          <w:color w:val="1A1A2E"/>
          <w:sz w:val="32"/>
        </w:rPr>
        <w:t>Présentation complète — V1 → V2 → V3 → V4</w:t>
      </w:r>
    </w:p>
    <w:p w14:paraId="68A1BAC1" w14:textId="77777777" w:rsidR="005B0343" w:rsidRDefault="00000000">
      <w:pPr>
        <w:spacing w:after="80"/>
      </w:pPr>
      <w:r>
        <w:rPr>
          <w:rFonts w:ascii="Calibri" w:hAnsi="Calibri"/>
          <w:b/>
          <w:color w:val="1A1A2E"/>
        </w:rPr>
        <w:t>Projet :</w:t>
      </w:r>
      <w:r>
        <w:rPr>
          <w:rFonts w:ascii="Calibri" w:hAnsi="Calibri"/>
          <w:color w:val="2C2C2C"/>
        </w:rPr>
        <w:t xml:space="preserve"> TransferAI Africa — Système de prospection intelligente  </w:t>
      </w:r>
    </w:p>
    <w:p w14:paraId="1F8661FF" w14:textId="77777777" w:rsidR="005B0343" w:rsidRDefault="00000000">
      <w:pPr>
        <w:spacing w:after="80"/>
      </w:pPr>
      <w:r>
        <w:rPr>
          <w:rFonts w:ascii="Calibri" w:hAnsi="Calibri"/>
          <w:b/>
          <w:color w:val="1A1A2E"/>
        </w:rPr>
        <w:t>Date :</w:t>
      </w:r>
      <w:r>
        <w:rPr>
          <w:rFonts w:ascii="Calibri" w:hAnsi="Calibri"/>
          <w:color w:val="2C2C2C"/>
        </w:rPr>
        <w:t xml:space="preserve"> 2026-05-23  </w:t>
      </w:r>
    </w:p>
    <w:p w14:paraId="016A2BFD" w14:textId="77777777" w:rsidR="005B0343" w:rsidRDefault="00000000">
      <w:pPr>
        <w:spacing w:after="80"/>
      </w:pPr>
      <w:r>
        <w:rPr>
          <w:rFonts w:ascii="Calibri" w:hAnsi="Calibri"/>
          <w:b/>
          <w:color w:val="1A1A2E"/>
        </w:rPr>
        <w:t>Statut V1 :</w:t>
      </w:r>
      <w:r>
        <w:rPr>
          <w:rFonts w:ascii="Calibri" w:hAnsi="Calibri"/>
          <w:color w:val="2C2C2C"/>
        </w:rPr>
        <w:t xml:space="preserve"> Opérationnel et testé</w:t>
      </w:r>
    </w:p>
    <w:p w14:paraId="61262CCD" w14:textId="77777777" w:rsidR="005B0343" w:rsidRDefault="005B0343">
      <w:pPr>
        <w:pBdr>
          <w:bottom w:val="single" w:sz="4" w:space="1" w:color="CCCCCC"/>
        </w:pBdr>
      </w:pPr>
    </w:p>
    <w:p w14:paraId="10918E8A" w14:textId="77777777" w:rsidR="005B0343" w:rsidRDefault="00000000">
      <w:pPr>
        <w:pBdr>
          <w:bottom w:val="single" w:sz="6" w:space="1" w:color="E87E04"/>
        </w:pBdr>
        <w:spacing w:before="400" w:after="80"/>
      </w:pPr>
      <w:r>
        <w:rPr>
          <w:rFonts w:ascii="Calibri" w:hAnsi="Calibri"/>
          <w:b/>
          <w:color w:val="1A1A2E"/>
          <w:sz w:val="32"/>
        </w:rPr>
        <w:t>Vue d'ensemble du système</w:t>
      </w:r>
    </w:p>
    <w:p w14:paraId="3B160FD0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TransferAI Africa dispose d'un </w:t>
      </w:r>
      <w:r>
        <w:rPr>
          <w:rFonts w:ascii="Calibri" w:hAnsi="Calibri"/>
          <w:b/>
          <w:color w:val="1A1A2E"/>
        </w:rPr>
        <w:t>pipeline de prospection IA automatisée</w:t>
      </w:r>
      <w:r>
        <w:rPr>
          <w:rFonts w:ascii="Calibri" w:hAnsi="Calibri"/>
          <w:color w:val="2C2C2C"/>
        </w:rPr>
        <w:t xml:space="preserve"> construit sur n8n et GPT-4.1-mini. L'objectif est de produire des prises de contact B2B de qualité, ciblées par secteur, sans spam, avec protection des données sensibles avant tout appel LLM.</w:t>
      </w:r>
    </w:p>
    <w:p w14:paraId="58696392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Le système fonctionne en 4 versions progressives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5B0343" w14:paraId="09616873" w14:textId="77777777">
        <w:tc>
          <w:tcPr>
            <w:tcW w:w="2280" w:type="dxa"/>
            <w:shd w:val="clear" w:color="auto" w:fill="1A1A2E"/>
          </w:tcPr>
          <w:p w14:paraId="5E1DBD0A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Version</w:t>
            </w:r>
          </w:p>
        </w:tc>
        <w:tc>
          <w:tcPr>
            <w:tcW w:w="2280" w:type="dxa"/>
            <w:shd w:val="clear" w:color="auto" w:fill="1A1A2E"/>
          </w:tcPr>
          <w:p w14:paraId="35EA2324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Nom</w:t>
            </w:r>
          </w:p>
        </w:tc>
        <w:tc>
          <w:tcPr>
            <w:tcW w:w="2280" w:type="dxa"/>
            <w:shd w:val="clear" w:color="auto" w:fill="1A1A2E"/>
          </w:tcPr>
          <w:p w14:paraId="7252F53D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Statut</w:t>
            </w:r>
          </w:p>
        </w:tc>
        <w:tc>
          <w:tcPr>
            <w:tcW w:w="2280" w:type="dxa"/>
            <w:shd w:val="clear" w:color="auto" w:fill="1A1A2E"/>
          </w:tcPr>
          <w:p w14:paraId="73972B34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Capacité</w:t>
            </w:r>
          </w:p>
        </w:tc>
      </w:tr>
      <w:tr w:rsidR="005B0343" w14:paraId="189BE4A7" w14:textId="77777777">
        <w:tc>
          <w:tcPr>
            <w:tcW w:w="2280" w:type="dxa"/>
          </w:tcPr>
          <w:p w14:paraId="78F0AF4F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V1</w:t>
            </w:r>
          </w:p>
        </w:tc>
        <w:tc>
          <w:tcPr>
            <w:tcW w:w="2280" w:type="dxa"/>
          </w:tcPr>
          <w:p w14:paraId="448257FE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Prospect unique — Manuel</w:t>
            </w:r>
          </w:p>
        </w:tc>
        <w:tc>
          <w:tcPr>
            <w:tcW w:w="2280" w:type="dxa"/>
          </w:tcPr>
          <w:p w14:paraId="5776937F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Opérationnel</w:t>
            </w:r>
          </w:p>
        </w:tc>
        <w:tc>
          <w:tcPr>
            <w:tcW w:w="2280" w:type="dxa"/>
          </w:tcPr>
          <w:p w14:paraId="7B056260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1 prospect à la fois, revue manuelle</w:t>
            </w:r>
          </w:p>
        </w:tc>
      </w:tr>
      <w:tr w:rsidR="005B0343" w14:paraId="1F9F9464" w14:textId="77777777">
        <w:tc>
          <w:tcPr>
            <w:tcW w:w="2280" w:type="dxa"/>
            <w:shd w:val="clear" w:color="auto" w:fill="F9F9F9"/>
          </w:tcPr>
          <w:p w14:paraId="2F9FA42D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V2</w:t>
            </w:r>
          </w:p>
        </w:tc>
        <w:tc>
          <w:tcPr>
            <w:tcW w:w="2280" w:type="dxa"/>
            <w:shd w:val="clear" w:color="auto" w:fill="F9F9F9"/>
          </w:tcPr>
          <w:p w14:paraId="1A6A0D18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Prospect unique + Supabase + Email approbation</w:t>
            </w:r>
          </w:p>
        </w:tc>
        <w:tc>
          <w:tcPr>
            <w:tcW w:w="2280" w:type="dxa"/>
            <w:shd w:val="clear" w:color="auto" w:fill="F9F9F9"/>
          </w:tcPr>
          <w:p w14:paraId="718514C7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Prêt à configurer</w:t>
            </w:r>
          </w:p>
        </w:tc>
        <w:tc>
          <w:tcPr>
            <w:tcW w:w="2280" w:type="dxa"/>
            <w:shd w:val="clear" w:color="auto" w:fill="F9F9F9"/>
          </w:tcPr>
          <w:p w14:paraId="197B05F0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1 prospect, email d'approbation avant envoi</w:t>
            </w:r>
          </w:p>
        </w:tc>
      </w:tr>
      <w:tr w:rsidR="005B0343" w14:paraId="4E308883" w14:textId="77777777">
        <w:tc>
          <w:tcPr>
            <w:tcW w:w="2280" w:type="dxa"/>
          </w:tcPr>
          <w:p w14:paraId="480C8FC0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V3</w:t>
            </w:r>
          </w:p>
        </w:tc>
        <w:tc>
          <w:tcPr>
            <w:tcW w:w="2280" w:type="dxa"/>
          </w:tcPr>
          <w:p w14:paraId="24F3A745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Prospect unique + Envoi automatique après approbation</w:t>
            </w:r>
          </w:p>
        </w:tc>
        <w:tc>
          <w:tcPr>
            <w:tcW w:w="2280" w:type="dxa"/>
          </w:tcPr>
          <w:p w14:paraId="3264D8D6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Prêt à configurer</w:t>
            </w:r>
          </w:p>
        </w:tc>
        <w:tc>
          <w:tcPr>
            <w:tcW w:w="2280" w:type="dxa"/>
          </w:tcPr>
          <w:p w14:paraId="61DF4A41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1 prospect, envoi automatique</w:t>
            </w:r>
          </w:p>
        </w:tc>
      </w:tr>
      <w:tr w:rsidR="005B0343" w14:paraId="3292FD76" w14:textId="77777777">
        <w:tc>
          <w:tcPr>
            <w:tcW w:w="2280" w:type="dxa"/>
            <w:shd w:val="clear" w:color="auto" w:fill="F9F9F9"/>
          </w:tcPr>
          <w:p w14:paraId="36F1EED2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V4</w:t>
            </w:r>
          </w:p>
        </w:tc>
        <w:tc>
          <w:tcPr>
            <w:tcW w:w="2280" w:type="dxa"/>
            <w:shd w:val="clear" w:color="auto" w:fill="F9F9F9"/>
          </w:tcPr>
          <w:p w14:paraId="7A63B0F9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Batch quotidien multi-prospects</w:t>
            </w:r>
          </w:p>
        </w:tc>
        <w:tc>
          <w:tcPr>
            <w:tcW w:w="2280" w:type="dxa"/>
            <w:shd w:val="clear" w:color="auto" w:fill="F9F9F9"/>
          </w:tcPr>
          <w:p w14:paraId="5D89339F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Prêt à configurer</w:t>
            </w:r>
          </w:p>
        </w:tc>
        <w:tc>
          <w:tcPr>
            <w:tcW w:w="2280" w:type="dxa"/>
            <w:shd w:val="clear" w:color="auto" w:fill="F9F9F9"/>
          </w:tcPr>
          <w:p w14:paraId="738E3BA4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3 à 5 prospects/jour, entièrement automatisé</w:t>
            </w:r>
          </w:p>
        </w:tc>
      </w:tr>
    </w:tbl>
    <w:p w14:paraId="4C126D83" w14:textId="77777777" w:rsidR="005B0343" w:rsidRDefault="005B0343">
      <w:pPr>
        <w:spacing w:after="120"/>
      </w:pPr>
    </w:p>
    <w:p w14:paraId="7A0005AA" w14:textId="77777777" w:rsidR="005B0343" w:rsidRDefault="005B0343">
      <w:pPr>
        <w:pBdr>
          <w:bottom w:val="single" w:sz="4" w:space="1" w:color="CCCCCC"/>
        </w:pBdr>
      </w:pPr>
    </w:p>
    <w:p w14:paraId="6DE64B1C" w14:textId="77777777" w:rsidR="005B0343" w:rsidRDefault="00000000">
      <w:pPr>
        <w:pBdr>
          <w:bottom w:val="single" w:sz="6" w:space="1" w:color="E87E04"/>
        </w:pBdr>
        <w:spacing w:before="400" w:after="80"/>
      </w:pPr>
      <w:r>
        <w:rPr>
          <w:rFonts w:ascii="Calibri" w:hAnsi="Calibri"/>
          <w:b/>
          <w:color w:val="1A1A2E"/>
          <w:sz w:val="32"/>
        </w:rPr>
        <w:t>Ce que le système produit pour chaque prospect</w:t>
      </w:r>
    </w:p>
    <w:p w14:paraId="36DC50DB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Pour chaque entreprise analysée, le workflow génère un </w:t>
      </w:r>
      <w:r>
        <w:rPr>
          <w:rFonts w:ascii="Calibri" w:hAnsi="Calibri"/>
          <w:b/>
          <w:color w:val="1A1A2E"/>
        </w:rPr>
        <w:t>pack commercial complet</w:t>
      </w:r>
      <w:r>
        <w:rPr>
          <w:rFonts w:ascii="Calibri" w:hAnsi="Calibri"/>
          <w:color w:val="2C2C2C"/>
        </w:rPr>
        <w:t xml:space="preserve"> :</w:t>
      </w:r>
    </w:p>
    <w:p w14:paraId="3D16B9C0" w14:textId="77777777" w:rsidR="005B0343" w:rsidRDefault="00000000">
      <w:pPr>
        <w:pStyle w:val="ListBullet"/>
        <w:spacing w:after="40"/>
      </w:pPr>
      <w:r>
        <w:rPr>
          <w:rFonts w:ascii="Calibri" w:hAnsi="Calibri"/>
          <w:b/>
        </w:rPr>
        <w:t>Courrier exécutif</w:t>
      </w:r>
      <w:r>
        <w:rPr>
          <w:rFonts w:ascii="Calibri" w:hAnsi="Calibri"/>
        </w:rPr>
        <w:t xml:space="preserve"> personnalisé (lettre de contact)</w:t>
      </w:r>
    </w:p>
    <w:p w14:paraId="2BE0CC93" w14:textId="77777777" w:rsidR="005B0343" w:rsidRDefault="00000000">
      <w:pPr>
        <w:pStyle w:val="ListBullet"/>
        <w:spacing w:after="40"/>
      </w:pPr>
      <w:r>
        <w:rPr>
          <w:rFonts w:ascii="Calibri" w:hAnsi="Calibri"/>
          <w:b/>
        </w:rPr>
        <w:t>Mini-catalogue ciblé</w:t>
      </w:r>
      <w:r>
        <w:rPr>
          <w:rFonts w:ascii="Calibri" w:hAnsi="Calibri"/>
        </w:rPr>
        <w:t xml:space="preserve"> selon le secteur détecté</w:t>
      </w:r>
    </w:p>
    <w:p w14:paraId="6A14E45D" w14:textId="77777777" w:rsidR="005B0343" w:rsidRDefault="00000000">
      <w:pPr>
        <w:pStyle w:val="ListBullet"/>
        <w:spacing w:after="40"/>
      </w:pPr>
      <w:r>
        <w:rPr>
          <w:rFonts w:ascii="Calibri" w:hAnsi="Calibri"/>
          <w:b/>
        </w:rPr>
        <w:t>Formulaire d'audit</w:t>
      </w:r>
      <w:r>
        <w:rPr>
          <w:rFonts w:ascii="Calibri" w:hAnsi="Calibri"/>
        </w:rPr>
        <w:t xml:space="preserve"> adapté (à envoyer avant le RDV de 45 min)</w:t>
      </w:r>
    </w:p>
    <w:p w14:paraId="3E89B022" w14:textId="77777777" w:rsidR="005B0343" w:rsidRDefault="00000000">
      <w:pPr>
        <w:pStyle w:val="ListBullet"/>
        <w:spacing w:after="40"/>
      </w:pPr>
      <w:r>
        <w:rPr>
          <w:rFonts w:ascii="Calibri" w:hAnsi="Calibri"/>
          <w:b/>
        </w:rPr>
        <w:t>Brief de deck</w:t>
      </w:r>
      <w:r>
        <w:rPr>
          <w:rFonts w:ascii="Calibri" w:hAnsi="Calibri"/>
        </w:rPr>
        <w:t xml:space="preserve"> structuré (JSON prêt pour une présentation PowerPoint)</w:t>
      </w:r>
    </w:p>
    <w:p w14:paraId="4336D4DA" w14:textId="77777777" w:rsidR="005B0343" w:rsidRDefault="00000000">
      <w:pPr>
        <w:pStyle w:val="ListBullet"/>
        <w:spacing w:after="40"/>
      </w:pPr>
      <w:r>
        <w:rPr>
          <w:rFonts w:ascii="Calibri" w:hAnsi="Calibri"/>
          <w:b/>
        </w:rPr>
        <w:t>Analyse IA</w:t>
      </w:r>
      <w:r>
        <w:rPr>
          <w:rFonts w:ascii="Calibri" w:hAnsi="Calibri"/>
        </w:rPr>
        <w:t xml:space="preserve"> : forces/faiblesses probables, niche d'entrée recommandée, ROI hypothétique, offre prioritaire</w:t>
      </w:r>
    </w:p>
    <w:p w14:paraId="29909A7F" w14:textId="77777777" w:rsidR="005B0343" w:rsidRDefault="005B0343">
      <w:pPr>
        <w:pBdr>
          <w:bottom w:val="single" w:sz="4" w:space="1" w:color="CCCCCC"/>
        </w:pBdr>
      </w:pPr>
    </w:p>
    <w:p w14:paraId="2B83B1CF" w14:textId="77777777" w:rsidR="005B0343" w:rsidRDefault="00000000">
      <w:pPr>
        <w:pBdr>
          <w:bottom w:val="single" w:sz="6" w:space="1" w:color="E87E04"/>
        </w:pBdr>
        <w:spacing w:before="400" w:after="80"/>
      </w:pPr>
      <w:r>
        <w:rPr>
          <w:rFonts w:ascii="Calibri" w:hAnsi="Calibri"/>
          <w:b/>
          <w:color w:val="1A1A2E"/>
          <w:sz w:val="32"/>
        </w:rPr>
        <w:t>PARTIE 1 — V1 : Prospect unique, exécution manuelle</w:t>
      </w:r>
    </w:p>
    <w:p w14:paraId="76492A76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Cas d'usage</w:t>
      </w:r>
    </w:p>
    <w:p w14:paraId="6FEEF005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Le commercial identifie une entreprise cible, saisit ses informations dans le workflow, et reçoit en retour un pack complet prêt à être relu et envoyé.</w:t>
      </w:r>
    </w:p>
    <w:p w14:paraId="3C7AD319" w14:textId="77777777" w:rsidR="005B0343" w:rsidRDefault="005B0343">
      <w:pPr>
        <w:pBdr>
          <w:bottom w:val="single" w:sz="4" w:space="1" w:color="CCCCCC"/>
        </w:pBdr>
      </w:pPr>
    </w:p>
    <w:p w14:paraId="4F01337B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Architecture du workflow V1</w:t>
      </w:r>
    </w:p>
    <w:p w14:paraId="7C20E7DF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>Manual Trigger</w:t>
      </w:r>
    </w:p>
    <w:p w14:paraId="156C4F53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Set Target (saisie prospect)</w:t>
      </w:r>
    </w:p>
    <w:p w14:paraId="772BD99F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Build Source URLs (génère les 5 URLs à scraper)</w:t>
      </w:r>
    </w:p>
    <w:p w14:paraId="6848AAFC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Fetch Public Page 1 à 5 (scraping site web)</w:t>
      </w:r>
    </w:p>
    <w:p w14:paraId="46D479E9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Normalize Public Signals (extraction texte + détection signaux)</w:t>
      </w:r>
    </w:p>
    <w:p w14:paraId="6055BCDB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Sanitize Prospect Data For LLM (pseudonymisation avant GPT)</w:t>
      </w:r>
    </w:p>
    <w:p w14:paraId="543AF5E6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Call OpenAI Pre-Audit (analyse organisation)</w:t>
      </w:r>
    </w:p>
    <w:p w14:paraId="74F8584F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Call OpenAI Problems Solutions (problèmes + offres)</w:t>
      </w:r>
    </w:p>
    <w:p w14:paraId="7660D425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Call OpenAI ROI (hypothèses de gains)</w:t>
      </w:r>
    </w:p>
    <w:p w14:paraId="7BB77C9C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Assemble Prospect Context (assemblage contexte complet)</w:t>
      </w:r>
    </w:p>
    <w:p w14:paraId="49345F89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Generate Executive Letter (rédaction courrier)</w:t>
      </w:r>
    </w:p>
    <w:p w14:paraId="7941F623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Generate Tailored Catalogue (catalogue personnalisé)</w:t>
      </w:r>
    </w:p>
    <w:p w14:paraId="728CA814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Generate Tailored Audit Form (formulaire d'audit)</w:t>
      </w:r>
    </w:p>
    <w:p w14:paraId="191901C7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Generate Deck Brief (brief PowerPoint)</w:t>
      </w:r>
    </w:p>
    <w:p w14:paraId="6F65E22B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Assemble Prospect Pack (pack final + hydratation noms réels)</w:t>
      </w:r>
    </w:p>
    <w:p w14:paraId="32A27246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Mark For Review (statut : prêt pour revue manuelle)</w:t>
      </w:r>
    </w:p>
    <w:p w14:paraId="1D06BB6D" w14:textId="77777777" w:rsidR="005B0343" w:rsidRDefault="005B0343">
      <w:pPr>
        <w:spacing w:after="80"/>
      </w:pPr>
    </w:p>
    <w:p w14:paraId="26510FD4" w14:textId="77777777" w:rsidR="005B0343" w:rsidRDefault="005B0343">
      <w:pPr>
        <w:pBdr>
          <w:bottom w:val="single" w:sz="4" w:space="1" w:color="CCCCCC"/>
        </w:pBdr>
      </w:pPr>
    </w:p>
    <w:p w14:paraId="0ED8F995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Étapes détaillées — V1</w:t>
      </w:r>
    </w:p>
    <w:p w14:paraId="34EB7A22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Étape 1 — Manual Trigger</w:t>
      </w:r>
    </w:p>
    <w:p w14:paraId="48B93C3F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Point de départ manuel. Déclenche le workflow depuis le canvas n8n.</w:t>
      </w:r>
    </w:p>
    <w:p w14:paraId="05492B2F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Étape 2 — Set Target</w:t>
      </w:r>
    </w:p>
    <w:p w14:paraId="630A6BEF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Nœud de saisie prospect. Contient les informations de l'entreprise cible.</w:t>
      </w:r>
    </w:p>
    <w:p w14:paraId="21DBA311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Champs à renseigner :</w:t>
      </w:r>
    </w:p>
    <w:p w14:paraId="020B8498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website</w:t>
      </w:r>
      <w:r>
        <w:rPr>
          <w:rFonts w:ascii="Calibri" w:hAnsi="Calibri"/>
        </w:rPr>
        <w:t xml:space="preserve"> — URL du site de l'entreprise (ex : </w:t>
      </w:r>
      <w:r>
        <w:rPr>
          <w:rFonts w:ascii="Courier New" w:hAnsi="Courier New"/>
          <w:color w:val="C0392B"/>
          <w:sz w:val="20"/>
        </w:rPr>
        <w:t>https://www.orange.ci</w:t>
      </w:r>
      <w:r>
        <w:rPr>
          <w:rFonts w:ascii="Calibri" w:hAnsi="Calibri"/>
        </w:rPr>
        <w:t>)</w:t>
      </w:r>
    </w:p>
    <w:p w14:paraId="0EEA5E4A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organization_name</w:t>
      </w:r>
      <w:r>
        <w:rPr>
          <w:rFonts w:ascii="Calibri" w:hAnsi="Calibri"/>
        </w:rPr>
        <w:t xml:space="preserve"> — Nom de l'entreprise (ex : </w:t>
      </w:r>
      <w:r>
        <w:rPr>
          <w:rFonts w:ascii="Courier New" w:hAnsi="Courier New"/>
          <w:color w:val="C0392B"/>
          <w:sz w:val="20"/>
        </w:rPr>
        <w:t>Orange Côte d'Ivoire</w:t>
      </w:r>
      <w:r>
        <w:rPr>
          <w:rFonts w:ascii="Calibri" w:hAnsi="Calibri"/>
        </w:rPr>
        <w:t>)</w:t>
      </w:r>
    </w:p>
    <w:p w14:paraId="502FF0A9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organization_type</w:t>
      </w:r>
      <w:r>
        <w:rPr>
          <w:rFonts w:ascii="Calibri" w:hAnsi="Calibri"/>
        </w:rPr>
        <w:t xml:space="preserve"> — Type d'organisation (ex : </w:t>
      </w:r>
      <w:r>
        <w:rPr>
          <w:rFonts w:ascii="Courier New" w:hAnsi="Courier New"/>
          <w:color w:val="C0392B"/>
          <w:sz w:val="20"/>
        </w:rPr>
        <w:t>Entreprise de télécommunications</w:t>
      </w:r>
      <w:r>
        <w:rPr>
          <w:rFonts w:ascii="Calibri" w:hAnsi="Calibri"/>
        </w:rPr>
        <w:t>)</w:t>
      </w:r>
    </w:p>
    <w:p w14:paraId="5A306194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sector_guess</w:t>
      </w:r>
      <w:r>
        <w:rPr>
          <w:rFonts w:ascii="Calibri" w:hAnsi="Calibri"/>
        </w:rPr>
        <w:t xml:space="preserve"> — Secteur estimé (ex : </w:t>
      </w:r>
      <w:r>
        <w:rPr>
          <w:rFonts w:ascii="Courier New" w:hAnsi="Courier New"/>
          <w:color w:val="C0392B"/>
          <w:sz w:val="20"/>
        </w:rPr>
        <w:t>Télécommunications</w:t>
      </w:r>
      <w:r>
        <w:rPr>
          <w:rFonts w:ascii="Calibri" w:hAnsi="Calibri"/>
        </w:rPr>
        <w:t>)</w:t>
      </w:r>
    </w:p>
    <w:p w14:paraId="0D1C50F9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country</w:t>
      </w:r>
      <w:r>
        <w:rPr>
          <w:rFonts w:ascii="Calibri" w:hAnsi="Calibri"/>
        </w:rPr>
        <w:t xml:space="preserve"> — Pays (ex : </w:t>
      </w:r>
      <w:r>
        <w:rPr>
          <w:rFonts w:ascii="Courier New" w:hAnsi="Courier New"/>
          <w:color w:val="C0392B"/>
          <w:sz w:val="20"/>
        </w:rPr>
        <w:t>Côte d'Ivoire</w:t>
      </w:r>
      <w:r>
        <w:rPr>
          <w:rFonts w:ascii="Calibri" w:hAnsi="Calibri"/>
        </w:rPr>
        <w:t>)</w:t>
      </w:r>
    </w:p>
    <w:p w14:paraId="125B0AA5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decision_maker_name</w:t>
      </w:r>
      <w:r>
        <w:rPr>
          <w:rFonts w:ascii="Calibri" w:hAnsi="Calibri"/>
        </w:rPr>
        <w:t xml:space="preserve"> — Nom ou titre du décideur (ex : </w:t>
      </w:r>
      <w:r>
        <w:rPr>
          <w:rFonts w:ascii="Courier New" w:hAnsi="Courier New"/>
          <w:color w:val="C0392B"/>
          <w:sz w:val="20"/>
        </w:rPr>
        <w:t>Directeur Général</w:t>
      </w:r>
      <w:r>
        <w:rPr>
          <w:rFonts w:ascii="Calibri" w:hAnsi="Calibri"/>
        </w:rPr>
        <w:t>)</w:t>
      </w:r>
    </w:p>
    <w:p w14:paraId="49B41988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prospect_id</w:t>
      </w:r>
      <w:r>
        <w:rPr>
          <w:rFonts w:ascii="Calibri" w:hAnsi="Calibri"/>
        </w:rPr>
        <w:t xml:space="preserve"> — Identifiant unique (ex : </w:t>
      </w:r>
      <w:r>
        <w:rPr>
          <w:rFonts w:ascii="Courier New" w:hAnsi="Courier New"/>
          <w:color w:val="C0392B"/>
          <w:sz w:val="20"/>
        </w:rPr>
        <w:t>prospect-001</w:t>
      </w:r>
      <w:r>
        <w:rPr>
          <w:rFonts w:ascii="Calibri" w:hAnsi="Calibri"/>
        </w:rPr>
        <w:t>)</w:t>
      </w:r>
    </w:p>
    <w:p w14:paraId="1D445C16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booking_link_45min</w:t>
      </w:r>
      <w:r>
        <w:rPr>
          <w:rFonts w:ascii="Calibri" w:hAnsi="Calibri"/>
        </w:rPr>
        <w:t xml:space="preserve"> — Lien Calendly pour l'audit de 45 min</w:t>
      </w:r>
    </w:p>
    <w:p w14:paraId="628D7E20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custom_page_paths_csv</w:t>
      </w:r>
      <w:r>
        <w:rPr>
          <w:rFonts w:ascii="Calibri" w:hAnsi="Calibri"/>
        </w:rPr>
        <w:t xml:space="preserve"> — Pages spécifiques à scraper (optionnel)</w:t>
      </w:r>
    </w:p>
    <w:p w14:paraId="692C6C10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Étape 3 — Build Source URLs</w:t>
      </w:r>
    </w:p>
    <w:p w14:paraId="683A84DE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Génère les 5 URLs à scraper à partir du domaine. Par défaut scrape :</w:t>
      </w:r>
    </w:p>
    <w:p w14:paraId="2808176F" w14:textId="77777777" w:rsidR="005B0343" w:rsidRDefault="00000000">
      <w:pPr>
        <w:spacing w:after="80"/>
      </w:pPr>
      <w:r>
        <w:rPr>
          <w:rFonts w:ascii="Courier New" w:hAnsi="Courier New"/>
          <w:color w:val="C0392B"/>
          <w:sz w:val="20"/>
        </w:rPr>
        <w:t>/</w:t>
      </w:r>
      <w:r>
        <w:rPr>
          <w:rFonts w:ascii="Calibri" w:hAnsi="Calibri"/>
          <w:color w:val="2C2C2C"/>
        </w:rPr>
        <w:t xml:space="preserve">, </w:t>
      </w:r>
      <w:r>
        <w:rPr>
          <w:rFonts w:ascii="Courier New" w:hAnsi="Courier New"/>
          <w:color w:val="C0392B"/>
          <w:sz w:val="20"/>
        </w:rPr>
        <w:t>/a-propos/</w:t>
      </w:r>
      <w:r>
        <w:rPr>
          <w:rFonts w:ascii="Calibri" w:hAnsi="Calibri"/>
          <w:color w:val="2C2C2C"/>
        </w:rPr>
        <w:t xml:space="preserve">, </w:t>
      </w:r>
      <w:r>
        <w:rPr>
          <w:rFonts w:ascii="Courier New" w:hAnsi="Courier New"/>
          <w:color w:val="C0392B"/>
          <w:sz w:val="20"/>
        </w:rPr>
        <w:t>/services/</w:t>
      </w:r>
      <w:r>
        <w:rPr>
          <w:rFonts w:ascii="Calibri" w:hAnsi="Calibri"/>
          <w:color w:val="2C2C2C"/>
        </w:rPr>
        <w:t xml:space="preserve">, </w:t>
      </w:r>
      <w:r>
        <w:rPr>
          <w:rFonts w:ascii="Courier New" w:hAnsi="Courier New"/>
          <w:color w:val="C0392B"/>
          <w:sz w:val="20"/>
        </w:rPr>
        <w:t>/solutions/</w:t>
      </w:r>
      <w:r>
        <w:rPr>
          <w:rFonts w:ascii="Calibri" w:hAnsi="Calibri"/>
          <w:color w:val="2C2C2C"/>
        </w:rPr>
        <w:t xml:space="preserve">, </w:t>
      </w:r>
      <w:r>
        <w:rPr>
          <w:rFonts w:ascii="Courier New" w:hAnsi="Courier New"/>
          <w:color w:val="C0392B"/>
          <w:sz w:val="20"/>
        </w:rPr>
        <w:t>/contact/</w:t>
      </w:r>
    </w:p>
    <w:p w14:paraId="5977CE8C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Étapes 4 à 8 — Fetch Public Page 1 à 5</w:t>
      </w:r>
    </w:p>
    <w:p w14:paraId="643BA6CD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Scraping HTTP des pages publiques. Les erreurs 404 sont ignorées (</w:t>
      </w:r>
      <w:r>
        <w:rPr>
          <w:rFonts w:ascii="Courier New" w:hAnsi="Courier New"/>
          <w:color w:val="C0392B"/>
          <w:sz w:val="20"/>
        </w:rPr>
        <w:t>neverError: true</w:t>
      </w:r>
      <w:r>
        <w:rPr>
          <w:rFonts w:ascii="Calibri" w:hAnsi="Calibri"/>
          <w:color w:val="2C2C2C"/>
        </w:rPr>
        <w:t>). Retourne le HTML brut.</w:t>
      </w:r>
    </w:p>
    <w:p w14:paraId="5F7AED6C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Étape 9 — Normalize Public Signals</w:t>
      </w:r>
    </w:p>
    <w:p w14:paraId="09F3381B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Nettoie le HTML (supprime scripts, styles, balises). Détecte automatiquement les signaux métier :</w:t>
      </w:r>
    </w:p>
    <w:p w14:paraId="52BC1E8D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Support IT, Service client, Marketing, Workflow administratif</w:t>
      </w:r>
    </w:p>
    <w:p w14:paraId="15ECF0A6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Finance, RH, Santé, Banque/KYC, Logistique, Énergie, Formation</w:t>
      </w:r>
    </w:p>
    <w:p w14:paraId="3DD8D996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Étape 10 — Sanitize Prospect Data For LLM</w:t>
      </w:r>
    </w:p>
    <w:p w14:paraId="43201BB2" w14:textId="77777777" w:rsidR="005B0343" w:rsidRDefault="00000000">
      <w:pPr>
        <w:spacing w:after="80"/>
      </w:pPr>
      <w:r>
        <w:rPr>
          <w:rFonts w:ascii="Calibri" w:hAnsi="Calibri"/>
          <w:b/>
          <w:color w:val="1A1A2E"/>
        </w:rPr>
        <w:t>Protection des données avant tout envoi à GPT.</w:t>
      </w:r>
      <w:r>
        <w:rPr>
          <w:rFonts w:ascii="Calibri" w:hAnsi="Calibri"/>
          <w:color w:val="2C2C2C"/>
        </w:rPr>
        <w:t xml:space="preserve"> Remplace :</w:t>
      </w:r>
    </w:p>
    <w:p w14:paraId="41D34B17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 xml:space="preserve">Le nom de l'entreprise → </w:t>
      </w:r>
      <w:r>
        <w:rPr>
          <w:rFonts w:ascii="Courier New" w:hAnsi="Courier New"/>
          <w:color w:val="C0392B"/>
          <w:sz w:val="20"/>
        </w:rPr>
        <w:t>ORG_TARGET</w:t>
      </w:r>
    </w:p>
    <w:p w14:paraId="61F47982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 xml:space="preserve">Le nom du décideur → </w:t>
      </w:r>
      <w:r>
        <w:rPr>
          <w:rFonts w:ascii="Courier New" w:hAnsi="Courier New"/>
          <w:color w:val="C0392B"/>
          <w:sz w:val="20"/>
        </w:rPr>
        <w:t>DECISION_MAKER_TARGET</w:t>
      </w:r>
    </w:p>
    <w:p w14:paraId="7AE66D5B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 xml:space="preserve">URLs, emails, téléphones → </w:t>
      </w:r>
      <w:r>
        <w:rPr>
          <w:rFonts w:ascii="Courier New" w:hAnsi="Courier New"/>
          <w:color w:val="C0392B"/>
          <w:sz w:val="20"/>
        </w:rPr>
        <w:t>[REDACTED]</w:t>
      </w:r>
    </w:p>
    <w:p w14:paraId="74FE22EF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Seul le texte pseudonymisé est envoyé à OpenAI.</w:t>
      </w:r>
    </w:p>
    <w:p w14:paraId="548F13CC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Étapes 11 à 13 — Appels OpenAI (3 en parallèle)</w:t>
      </w:r>
    </w:p>
    <w:p w14:paraId="0FF76562" w14:textId="77777777" w:rsidR="005B0343" w:rsidRDefault="00000000">
      <w:pPr>
        <w:pStyle w:val="ListBullet"/>
        <w:spacing w:after="40"/>
      </w:pPr>
      <w:r>
        <w:rPr>
          <w:rFonts w:ascii="Calibri" w:hAnsi="Calibri"/>
          <w:b/>
        </w:rPr>
        <w:t>Pre-Audit</w:t>
      </w:r>
      <w:r>
        <w:rPr>
          <w:rFonts w:ascii="Calibri" w:hAnsi="Calibri"/>
        </w:rPr>
        <w:t xml:space="preserve"> : résumé organisation, forces/faiblesses, niche d'entrée, score de confiance</w:t>
      </w:r>
    </w:p>
    <w:p w14:paraId="20F92623" w14:textId="77777777" w:rsidR="005B0343" w:rsidRDefault="00000000">
      <w:pPr>
        <w:pStyle w:val="ListBullet"/>
        <w:spacing w:after="40"/>
      </w:pPr>
      <w:r>
        <w:rPr>
          <w:rFonts w:ascii="Calibri" w:hAnsi="Calibri"/>
          <w:b/>
        </w:rPr>
        <w:t>Problems Solutions</w:t>
      </w:r>
      <w:r>
        <w:rPr>
          <w:rFonts w:ascii="Calibri" w:hAnsi="Calibri"/>
        </w:rPr>
        <w:t xml:space="preserve"> : problèmes probables, offre recommandée, cas d'usage, priorité commerciale</w:t>
      </w:r>
    </w:p>
    <w:p w14:paraId="1138D5C6" w14:textId="77777777" w:rsidR="005B0343" w:rsidRDefault="00000000">
      <w:pPr>
        <w:pStyle w:val="ListBullet"/>
        <w:spacing w:after="40"/>
      </w:pPr>
      <w:r>
        <w:rPr>
          <w:rFonts w:ascii="Calibri" w:hAnsi="Calibri"/>
          <w:b/>
        </w:rPr>
        <w:t>ROI</w:t>
      </w:r>
      <w:r>
        <w:rPr>
          <w:rFonts w:ascii="Calibri" w:hAnsi="Calibri"/>
        </w:rPr>
        <w:t xml:space="preserve"> : hypothèses de gains, délais de livraison, quick wins</w:t>
      </w:r>
    </w:p>
    <w:p w14:paraId="4C6DC43A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Étape 14 — Assemble Prospect Context</w:t>
      </w:r>
    </w:p>
    <w:p w14:paraId="2A0DC0DC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Fusionne les 3 réponses OpenAI avec les signaux scraping. Produit un contexte prospect complet.</w:t>
      </w:r>
    </w:p>
    <w:p w14:paraId="6CAC7EF4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Étapes 15 à 18 — Génération des actifs (4 en parallèle)</w:t>
      </w:r>
    </w:p>
    <w:p w14:paraId="308F37F9" w14:textId="77777777" w:rsidR="005B0343" w:rsidRDefault="00000000">
      <w:pPr>
        <w:pStyle w:val="ListBullet"/>
        <w:spacing w:after="40"/>
      </w:pPr>
      <w:r>
        <w:rPr>
          <w:rFonts w:ascii="Calibri" w:hAnsi="Calibri"/>
          <w:b/>
        </w:rPr>
        <w:t>Executive Letter</w:t>
      </w:r>
      <w:r>
        <w:rPr>
          <w:rFonts w:ascii="Calibri" w:hAnsi="Calibri"/>
        </w:rPr>
        <w:t xml:space="preserve"> : courrier professionnel en français</w:t>
      </w:r>
    </w:p>
    <w:p w14:paraId="01632380" w14:textId="77777777" w:rsidR="005B0343" w:rsidRDefault="00000000">
      <w:pPr>
        <w:pStyle w:val="ListBullet"/>
        <w:spacing w:after="40"/>
      </w:pPr>
      <w:r>
        <w:rPr>
          <w:rFonts w:ascii="Calibri" w:hAnsi="Calibri"/>
          <w:b/>
        </w:rPr>
        <w:t>Tailored Catalogue</w:t>
      </w:r>
      <w:r>
        <w:rPr>
          <w:rFonts w:ascii="Calibri" w:hAnsi="Calibri"/>
        </w:rPr>
        <w:t xml:space="preserve"> : mini-catalogue 8 sections</w:t>
      </w:r>
    </w:p>
    <w:p w14:paraId="5355A962" w14:textId="77777777" w:rsidR="005B0343" w:rsidRDefault="00000000">
      <w:pPr>
        <w:pStyle w:val="ListBullet"/>
        <w:spacing w:after="40"/>
      </w:pPr>
      <w:r>
        <w:rPr>
          <w:rFonts w:ascii="Calibri" w:hAnsi="Calibri"/>
          <w:b/>
        </w:rPr>
        <w:t>Tailored Audit Form</w:t>
      </w:r>
      <w:r>
        <w:rPr>
          <w:rFonts w:ascii="Calibri" w:hAnsi="Calibri"/>
        </w:rPr>
        <w:t xml:space="preserve"> : questionnaire pré-RDV</w:t>
      </w:r>
    </w:p>
    <w:p w14:paraId="1850042C" w14:textId="77777777" w:rsidR="005B0343" w:rsidRDefault="00000000">
      <w:pPr>
        <w:pStyle w:val="ListBullet"/>
        <w:spacing w:after="40"/>
      </w:pPr>
      <w:r>
        <w:rPr>
          <w:rFonts w:ascii="Calibri" w:hAnsi="Calibri"/>
          <w:b/>
        </w:rPr>
        <w:t>Deck Brief</w:t>
      </w:r>
      <w:r>
        <w:rPr>
          <w:rFonts w:ascii="Calibri" w:hAnsi="Calibri"/>
        </w:rPr>
        <w:t xml:space="preserve"> : JSON structuré pour présentation</w:t>
      </w:r>
    </w:p>
    <w:p w14:paraId="50BCDCAE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Les tokens </w:t>
      </w:r>
      <w:r>
        <w:rPr>
          <w:rFonts w:ascii="Courier New" w:hAnsi="Courier New"/>
          <w:color w:val="C0392B"/>
          <w:sz w:val="20"/>
        </w:rPr>
        <w:t>{{ORGANIZATION_NAME}}</w:t>
      </w:r>
      <w:r>
        <w:rPr>
          <w:rFonts w:ascii="Calibri" w:hAnsi="Calibri"/>
          <w:color w:val="2C2C2C"/>
        </w:rPr>
        <w:t xml:space="preserve">, </w:t>
      </w:r>
      <w:r>
        <w:rPr>
          <w:rFonts w:ascii="Courier New" w:hAnsi="Courier New"/>
          <w:color w:val="C0392B"/>
          <w:sz w:val="20"/>
        </w:rPr>
        <w:t>{{DECISION_MAKER_NAME}}</w:t>
      </w:r>
      <w:r>
        <w:rPr>
          <w:rFonts w:ascii="Calibri" w:hAnsi="Calibri"/>
          <w:color w:val="2C2C2C"/>
        </w:rPr>
        <w:t xml:space="preserve">, </w:t>
      </w:r>
      <w:r>
        <w:rPr>
          <w:rFonts w:ascii="Courier New" w:hAnsi="Courier New"/>
          <w:color w:val="C0392B"/>
          <w:sz w:val="20"/>
        </w:rPr>
        <w:t>{{WEBSITE}}</w:t>
      </w:r>
      <w:r>
        <w:rPr>
          <w:rFonts w:ascii="Calibri" w:hAnsi="Calibri"/>
          <w:color w:val="2C2C2C"/>
        </w:rPr>
        <w:t xml:space="preserve"> dans les textes générés sont remplacés par les vraies valeurs à l'étape suivante.</w:t>
      </w:r>
    </w:p>
    <w:p w14:paraId="786AF119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Étape 19 — Assemble Prospect Pack</w:t>
      </w:r>
    </w:p>
    <w:p w14:paraId="39B04FE2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Assemble le pack final. Réinjecte les noms réels (hydratation). Génère un </w:t>
      </w:r>
      <w:r>
        <w:rPr>
          <w:rFonts w:ascii="Courier New" w:hAnsi="Courier New"/>
          <w:color w:val="C0392B"/>
          <w:sz w:val="20"/>
        </w:rPr>
        <w:t>pack_id</w:t>
      </w:r>
      <w:r>
        <w:rPr>
          <w:rFonts w:ascii="Calibri" w:hAnsi="Calibri"/>
          <w:color w:val="2C2C2C"/>
        </w:rPr>
        <w:t xml:space="preserve"> unique.</w:t>
      </w:r>
    </w:p>
    <w:p w14:paraId="3BF5580F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Étape 20 — Mark For Review</w:t>
      </w:r>
    </w:p>
    <w:p w14:paraId="4E4011D0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Ajoute les champs </w:t>
      </w:r>
      <w:r>
        <w:rPr>
          <w:rFonts w:ascii="Courier New" w:hAnsi="Courier New"/>
          <w:color w:val="C0392B"/>
          <w:sz w:val="20"/>
        </w:rPr>
        <w:t>workflow_status: ready_for_manual_review</w:t>
      </w:r>
      <w:r>
        <w:rPr>
          <w:rFonts w:ascii="Calibri" w:hAnsi="Calibri"/>
          <w:color w:val="2C2C2C"/>
        </w:rPr>
        <w:t xml:space="preserve"> et </w:t>
      </w:r>
      <w:r>
        <w:rPr>
          <w:rFonts w:ascii="Courier New" w:hAnsi="Courier New"/>
          <w:color w:val="C0392B"/>
          <w:sz w:val="20"/>
        </w:rPr>
        <w:t>workflow_scope: multi_prospect</w:t>
      </w:r>
      <w:r>
        <w:rPr>
          <w:rFonts w:ascii="Calibri" w:hAnsi="Calibri"/>
          <w:color w:val="2C2C2C"/>
        </w:rPr>
        <w:t>. Le commercial peut alors lire le pack et décider d'envoyer ou non.</w:t>
      </w:r>
    </w:p>
    <w:p w14:paraId="0AF834A7" w14:textId="77777777" w:rsidR="005B0343" w:rsidRDefault="005B0343">
      <w:pPr>
        <w:pBdr>
          <w:bottom w:val="single" w:sz="4" w:space="1" w:color="CCCCCC"/>
        </w:pBdr>
      </w:pPr>
    </w:p>
    <w:p w14:paraId="6F08A735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Guide d'utilisation V1</w:t>
      </w:r>
    </w:p>
    <w:p w14:paraId="3A039377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Prérequis</w:t>
      </w:r>
    </w:p>
    <w:p w14:paraId="363D15C5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Instance n8n opérationnelle</w:t>
      </w:r>
    </w:p>
    <w:p w14:paraId="607902BA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Clé API OpenAI active (</w:t>
      </w:r>
      <w:r>
        <w:rPr>
          <w:rFonts w:ascii="Courier New" w:hAnsi="Courier New"/>
          <w:color w:val="C0392B"/>
          <w:sz w:val="20"/>
        </w:rPr>
        <w:t>sk-proj-...</w:t>
      </w:r>
      <w:r>
        <w:rPr>
          <w:rFonts w:ascii="Calibri" w:hAnsi="Calibri"/>
        </w:rPr>
        <w:t>)</w:t>
      </w:r>
    </w:p>
    <w:p w14:paraId="1D6A8372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 xml:space="preserve">Fichier : </w:t>
      </w:r>
      <w:r>
        <w:rPr>
          <w:rFonts w:ascii="Courier New" w:hAnsi="Courier New"/>
          <w:color w:val="C0392B"/>
          <w:sz w:val="20"/>
        </w:rPr>
        <w:t>42_n8n_Prospection_Modele_Elton_V1_corrected.json</w:t>
      </w:r>
    </w:p>
    <w:p w14:paraId="1A417925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Procédure de premier import</w:t>
      </w:r>
    </w:p>
    <w:p w14:paraId="5CD133EA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Dans n8n, cliquer </w:t>
      </w:r>
      <w:r>
        <w:rPr>
          <w:rFonts w:ascii="Courier New" w:hAnsi="Courier New"/>
          <w:color w:val="C0392B"/>
          <w:sz w:val="20"/>
        </w:rPr>
        <w:t>...</w:t>
      </w:r>
      <w:r>
        <w:rPr>
          <w:rFonts w:ascii="Calibri" w:hAnsi="Calibri"/>
        </w:rPr>
        <w:t xml:space="preserve"> en haut à droite → </w:t>
      </w:r>
      <w:r>
        <w:rPr>
          <w:rFonts w:ascii="Calibri" w:hAnsi="Calibri"/>
          <w:b/>
        </w:rPr>
        <w:t>Import from file...</w:t>
      </w:r>
    </w:p>
    <w:p w14:paraId="60C1900B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Sélectionner </w:t>
      </w:r>
      <w:r>
        <w:rPr>
          <w:rFonts w:ascii="Courier New" w:hAnsi="Courier New"/>
          <w:color w:val="C0392B"/>
          <w:sz w:val="20"/>
        </w:rPr>
        <w:t>42_n8n_Prospection_Modele_Elton_V1_corrected.json</w:t>
      </w:r>
    </w:p>
    <w:p w14:paraId="7CBFCF62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Si des nœuds doublés apparaissent : </w:t>
      </w:r>
      <w:r>
        <w:rPr>
          <w:rFonts w:ascii="Courier New" w:hAnsi="Courier New"/>
          <w:color w:val="C0392B"/>
          <w:sz w:val="20"/>
        </w:rPr>
        <w:t>Ctrl+A</w:t>
      </w:r>
      <w:r>
        <w:rPr>
          <w:rFonts w:ascii="Calibri" w:hAnsi="Calibri"/>
        </w:rPr>
        <w:t xml:space="preserve"> → </w:t>
      </w:r>
      <w:r>
        <w:rPr>
          <w:rFonts w:ascii="Courier New" w:hAnsi="Courier New"/>
          <w:color w:val="C0392B"/>
          <w:sz w:val="20"/>
        </w:rPr>
        <w:t>Delete</w:t>
      </w:r>
      <w:r>
        <w:rPr>
          <w:rFonts w:ascii="Calibri" w:hAnsi="Calibri"/>
        </w:rPr>
        <w:t xml:space="preserve"> → réimporter</w:t>
      </w:r>
    </w:p>
    <w:p w14:paraId="6583D730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Cliquer </w:t>
      </w:r>
      <w:r>
        <w:rPr>
          <w:rFonts w:ascii="Calibri" w:hAnsi="Calibri"/>
          <w:b/>
        </w:rPr>
        <w:t>Execute workflow</w:t>
      </w:r>
    </w:p>
    <w:p w14:paraId="0DE33E8F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Changer de prospect</w:t>
      </w:r>
    </w:p>
    <w:p w14:paraId="61E39990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Ouvrir le nœud </w:t>
      </w:r>
      <w:r>
        <w:rPr>
          <w:rFonts w:ascii="Calibri" w:hAnsi="Calibri"/>
          <w:b/>
        </w:rPr>
        <w:t>`Set Target`</w:t>
      </w:r>
    </w:p>
    <w:p w14:paraId="73870A31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>Modifier les champs :</w:t>
      </w:r>
    </w:p>
    <w:p w14:paraId="1E9EF4AF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website</w:t>
      </w:r>
      <w:r>
        <w:rPr>
          <w:rFonts w:ascii="Calibri" w:hAnsi="Calibri"/>
        </w:rPr>
        <w:t xml:space="preserve"> → URL du nouveau prospect</w:t>
      </w:r>
    </w:p>
    <w:p w14:paraId="531DB337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organization_name</w:t>
      </w:r>
      <w:r>
        <w:rPr>
          <w:rFonts w:ascii="Calibri" w:hAnsi="Calibri"/>
        </w:rPr>
        <w:t xml:space="preserve"> → Nom de l'entreprise</w:t>
      </w:r>
    </w:p>
    <w:p w14:paraId="3571366C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sector_guess</w:t>
      </w:r>
      <w:r>
        <w:rPr>
          <w:rFonts w:ascii="Calibri" w:hAnsi="Calibri"/>
        </w:rPr>
        <w:t xml:space="preserve"> → Secteur</w:t>
      </w:r>
    </w:p>
    <w:p w14:paraId="5341A739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decision_maker_name</w:t>
      </w:r>
      <w:r>
        <w:rPr>
          <w:rFonts w:ascii="Calibri" w:hAnsi="Calibri"/>
        </w:rPr>
        <w:t xml:space="preserve"> → Nom ou titre</w:t>
      </w:r>
    </w:p>
    <w:p w14:paraId="18B91551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Cliquer </w:t>
      </w:r>
      <w:r>
        <w:rPr>
          <w:rFonts w:ascii="Calibri" w:hAnsi="Calibri"/>
          <w:b/>
        </w:rPr>
        <w:t>Save</w:t>
      </w:r>
      <w:r>
        <w:rPr>
          <w:rFonts w:ascii="Calibri" w:hAnsi="Calibri"/>
        </w:rPr>
        <w:t xml:space="preserve"> dans le panneau du nœud</w:t>
      </w:r>
    </w:p>
    <w:p w14:paraId="0F739594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Cliquer </w:t>
      </w:r>
      <w:r>
        <w:rPr>
          <w:rFonts w:ascii="Calibri" w:hAnsi="Calibri"/>
          <w:b/>
        </w:rPr>
        <w:t>Execute workflow</w:t>
      </w:r>
      <w:r>
        <w:rPr>
          <w:rFonts w:ascii="Calibri" w:hAnsi="Calibri"/>
        </w:rPr>
        <w:t xml:space="preserve"> sur le canvas</w:t>
      </w:r>
    </w:p>
    <w:p w14:paraId="603DF760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Lire les résultats</w:t>
      </w:r>
    </w:p>
    <w:p w14:paraId="444808F3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Cliquer sur le nœud </w:t>
      </w:r>
      <w:r>
        <w:rPr>
          <w:rFonts w:ascii="Calibri" w:hAnsi="Calibri"/>
          <w:b/>
        </w:rPr>
        <w:t>`Mark For Review`</w:t>
      </w:r>
      <w:r>
        <w:rPr>
          <w:rFonts w:ascii="Calibri" w:hAnsi="Calibri"/>
        </w:rPr>
        <w:t xml:space="preserve"> (dernier nœud)</w:t>
      </w:r>
    </w:p>
    <w:p w14:paraId="1A8C1B69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Onglet </w:t>
      </w:r>
      <w:r>
        <w:rPr>
          <w:rFonts w:ascii="Calibri" w:hAnsi="Calibri"/>
          <w:b/>
        </w:rPr>
        <w:t>Output</w:t>
      </w:r>
      <w:r>
        <w:rPr>
          <w:rFonts w:ascii="Calibri" w:hAnsi="Calibri"/>
        </w:rPr>
        <w:t xml:space="preserve"> → </w:t>
      </w:r>
      <w:r>
        <w:rPr>
          <w:rFonts w:ascii="Calibri" w:hAnsi="Calibri"/>
          <w:b/>
        </w:rPr>
        <w:t>JSON</w:t>
      </w:r>
    </w:p>
    <w:p w14:paraId="0C04496A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>Champs à consulter :</w:t>
      </w:r>
    </w:p>
    <w:p w14:paraId="1B8118D0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executive_letter</w:t>
      </w:r>
      <w:r>
        <w:rPr>
          <w:rFonts w:ascii="Calibri" w:hAnsi="Calibri"/>
        </w:rPr>
        <w:t xml:space="preserve"> — le courrier à envoyer</w:t>
      </w:r>
    </w:p>
    <w:p w14:paraId="42A1AAF8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tailored_catalogue</w:t>
      </w:r>
      <w:r>
        <w:rPr>
          <w:rFonts w:ascii="Calibri" w:hAnsi="Calibri"/>
        </w:rPr>
        <w:t xml:space="preserve"> — le catalogue personnalisé</w:t>
      </w:r>
    </w:p>
    <w:p w14:paraId="4F28C9E7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tailored_audit_form</w:t>
      </w:r>
      <w:r>
        <w:rPr>
          <w:rFonts w:ascii="Calibri" w:hAnsi="Calibri"/>
        </w:rPr>
        <w:t xml:space="preserve"> — le formulaire d'audit</w:t>
      </w:r>
    </w:p>
    <w:p w14:paraId="6AD68CA4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deck_brief</w:t>
      </w:r>
      <w:r>
        <w:rPr>
          <w:rFonts w:ascii="Calibri" w:hAnsi="Calibri"/>
        </w:rPr>
        <w:t xml:space="preserve"> — le brief pour le deck (JSON)</w:t>
      </w:r>
    </w:p>
    <w:p w14:paraId="43DE54BB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entry_point_niche</w:t>
      </w:r>
      <w:r>
        <w:rPr>
          <w:rFonts w:ascii="Calibri" w:hAnsi="Calibri"/>
        </w:rPr>
        <w:t xml:space="preserve"> — la porte d'entrée recommandée</w:t>
      </w:r>
    </w:p>
    <w:p w14:paraId="43656C04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recommended_offer</w:t>
      </w:r>
      <w:r>
        <w:rPr>
          <w:rFonts w:ascii="Calibri" w:hAnsi="Calibri"/>
        </w:rPr>
        <w:t xml:space="preserve"> — l'offre à proposer</w:t>
      </w:r>
    </w:p>
    <w:p w14:paraId="24EDA661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approved_for_send</w:t>
      </w:r>
      <w:r>
        <w:rPr>
          <w:rFonts w:ascii="Calibri" w:hAnsi="Calibri"/>
        </w:rPr>
        <w:t xml:space="preserve"> — </w:t>
      </w:r>
      <w:r>
        <w:rPr>
          <w:rFonts w:ascii="Courier New" w:hAnsi="Courier New"/>
          <w:color w:val="C0392B"/>
          <w:sz w:val="20"/>
        </w:rPr>
        <w:t>true</w:t>
      </w:r>
      <w:r>
        <w:rPr>
          <w:rFonts w:ascii="Calibri" w:hAnsi="Calibri"/>
        </w:rPr>
        <w:t xml:space="preserve"> si le pack est complet</w:t>
      </w:r>
    </w:p>
    <w:p w14:paraId="4C14914F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Niches ciblées et exemples entreprises CI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6"/>
        <w:gridCol w:w="3036"/>
        <w:gridCol w:w="3040"/>
      </w:tblGrid>
      <w:tr w:rsidR="005B0343" w14:paraId="22933793" w14:textId="77777777">
        <w:tc>
          <w:tcPr>
            <w:tcW w:w="3041" w:type="dxa"/>
            <w:shd w:val="clear" w:color="auto" w:fill="1A1A2E"/>
          </w:tcPr>
          <w:p w14:paraId="4C1754C5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Niche</w:t>
            </w:r>
          </w:p>
        </w:tc>
        <w:tc>
          <w:tcPr>
            <w:tcW w:w="3041" w:type="dxa"/>
            <w:shd w:val="clear" w:color="auto" w:fill="1A1A2E"/>
          </w:tcPr>
          <w:p w14:paraId="361BF7F0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Entreprise exemple</w:t>
            </w:r>
          </w:p>
        </w:tc>
        <w:tc>
          <w:tcPr>
            <w:tcW w:w="3041" w:type="dxa"/>
            <w:shd w:val="clear" w:color="auto" w:fill="1A1A2E"/>
          </w:tcPr>
          <w:p w14:paraId="6A037B04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Website</w:t>
            </w:r>
          </w:p>
        </w:tc>
      </w:tr>
      <w:tr w:rsidR="005B0343" w14:paraId="5E8E67B9" w14:textId="77777777">
        <w:tc>
          <w:tcPr>
            <w:tcW w:w="3041" w:type="dxa"/>
          </w:tcPr>
          <w:p w14:paraId="04C7C431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Service client multicanal</w:t>
            </w:r>
          </w:p>
        </w:tc>
        <w:tc>
          <w:tcPr>
            <w:tcW w:w="3041" w:type="dxa"/>
          </w:tcPr>
          <w:p w14:paraId="7EBE51B5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MTN Côte d'Ivoire</w:t>
            </w:r>
          </w:p>
        </w:tc>
        <w:tc>
          <w:tcPr>
            <w:tcW w:w="3041" w:type="dxa"/>
          </w:tcPr>
          <w:p w14:paraId="665178A6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https://www.mtn.ci</w:t>
            </w:r>
          </w:p>
        </w:tc>
      </w:tr>
      <w:tr w:rsidR="005B0343" w14:paraId="59A48C2D" w14:textId="77777777">
        <w:tc>
          <w:tcPr>
            <w:tcW w:w="3041" w:type="dxa"/>
            <w:shd w:val="clear" w:color="auto" w:fill="F9F9F9"/>
          </w:tcPr>
          <w:p w14:paraId="182E01DF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Banque / KYC / Compliance</w:t>
            </w:r>
          </w:p>
        </w:tc>
        <w:tc>
          <w:tcPr>
            <w:tcW w:w="3041" w:type="dxa"/>
            <w:shd w:val="clear" w:color="auto" w:fill="F9F9F9"/>
          </w:tcPr>
          <w:p w14:paraId="380A7D70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SGBCI</w:t>
            </w:r>
          </w:p>
        </w:tc>
        <w:tc>
          <w:tcPr>
            <w:tcW w:w="3041" w:type="dxa"/>
            <w:shd w:val="clear" w:color="auto" w:fill="F9F9F9"/>
          </w:tcPr>
          <w:p w14:paraId="057AF8B9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https://www.sgbci.ci</w:t>
            </w:r>
          </w:p>
        </w:tc>
      </w:tr>
      <w:tr w:rsidR="005B0343" w14:paraId="6D3B2B77" w14:textId="77777777">
        <w:tc>
          <w:tcPr>
            <w:tcW w:w="3041" w:type="dxa"/>
          </w:tcPr>
          <w:p w14:paraId="18A27251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Banque / KYC / Compliance</w:t>
            </w:r>
          </w:p>
        </w:tc>
        <w:tc>
          <w:tcPr>
            <w:tcW w:w="3041" w:type="dxa"/>
          </w:tcPr>
          <w:p w14:paraId="2B084A58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Ecobank CI</w:t>
            </w:r>
          </w:p>
        </w:tc>
        <w:tc>
          <w:tcPr>
            <w:tcW w:w="3041" w:type="dxa"/>
          </w:tcPr>
          <w:p w14:paraId="7818DF4B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https://www.ecobank.com</w:t>
            </w:r>
          </w:p>
        </w:tc>
      </w:tr>
      <w:tr w:rsidR="005B0343" w14:paraId="66295C5B" w14:textId="77777777">
        <w:tc>
          <w:tcPr>
            <w:tcW w:w="3041" w:type="dxa"/>
            <w:shd w:val="clear" w:color="auto" w:fill="F9F9F9"/>
          </w:tcPr>
          <w:p w14:paraId="11FF71BD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Énergie / Industrie</w:t>
            </w:r>
          </w:p>
        </w:tc>
        <w:tc>
          <w:tcPr>
            <w:tcW w:w="3041" w:type="dxa"/>
            <w:shd w:val="clear" w:color="auto" w:fill="F9F9F9"/>
          </w:tcPr>
          <w:p w14:paraId="0FBB1CBB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CIE</w:t>
            </w:r>
          </w:p>
        </w:tc>
        <w:tc>
          <w:tcPr>
            <w:tcW w:w="3041" w:type="dxa"/>
            <w:shd w:val="clear" w:color="auto" w:fill="F9F9F9"/>
          </w:tcPr>
          <w:p w14:paraId="1849E6D6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https://www.cie.ci</w:t>
            </w:r>
          </w:p>
        </w:tc>
      </w:tr>
      <w:tr w:rsidR="005B0343" w14:paraId="14336A70" w14:textId="77777777">
        <w:tc>
          <w:tcPr>
            <w:tcW w:w="3041" w:type="dxa"/>
          </w:tcPr>
          <w:p w14:paraId="5BC90D3D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Énergie / Industrie</w:t>
            </w:r>
          </w:p>
        </w:tc>
        <w:tc>
          <w:tcPr>
            <w:tcW w:w="3041" w:type="dxa"/>
          </w:tcPr>
          <w:p w14:paraId="4B0DB281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PETROCI</w:t>
            </w:r>
          </w:p>
        </w:tc>
        <w:tc>
          <w:tcPr>
            <w:tcW w:w="3041" w:type="dxa"/>
          </w:tcPr>
          <w:p w14:paraId="6785D46E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https://www.petroci.ci</w:t>
            </w:r>
          </w:p>
        </w:tc>
      </w:tr>
      <w:tr w:rsidR="005B0343" w14:paraId="5EFCDDFA" w14:textId="77777777">
        <w:tc>
          <w:tcPr>
            <w:tcW w:w="3041" w:type="dxa"/>
            <w:shd w:val="clear" w:color="auto" w:fill="F9F9F9"/>
          </w:tcPr>
          <w:p w14:paraId="13870270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Santé / Télémédecine</w:t>
            </w:r>
          </w:p>
        </w:tc>
        <w:tc>
          <w:tcPr>
            <w:tcW w:w="3041" w:type="dxa"/>
            <w:shd w:val="clear" w:color="auto" w:fill="F9F9F9"/>
          </w:tcPr>
          <w:p w14:paraId="3D753B8F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PISAM</w:t>
            </w:r>
          </w:p>
        </w:tc>
        <w:tc>
          <w:tcPr>
            <w:tcW w:w="3041" w:type="dxa"/>
            <w:shd w:val="clear" w:color="auto" w:fill="F9F9F9"/>
          </w:tcPr>
          <w:p w14:paraId="557AB19E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https://www.pisam.ci</w:t>
            </w:r>
          </w:p>
        </w:tc>
      </w:tr>
      <w:tr w:rsidR="005B0343" w14:paraId="21EF7D78" w14:textId="77777777">
        <w:tc>
          <w:tcPr>
            <w:tcW w:w="3041" w:type="dxa"/>
          </w:tcPr>
          <w:p w14:paraId="25DCA906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Workflow administratif</w:t>
            </w:r>
          </w:p>
        </w:tc>
        <w:tc>
          <w:tcPr>
            <w:tcW w:w="3041" w:type="dxa"/>
          </w:tcPr>
          <w:p w14:paraId="1D4CFF8F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CNPS</w:t>
            </w:r>
          </w:p>
        </w:tc>
        <w:tc>
          <w:tcPr>
            <w:tcW w:w="3041" w:type="dxa"/>
          </w:tcPr>
          <w:p w14:paraId="2DF4C327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https://www.cnps.ci</w:t>
            </w:r>
          </w:p>
        </w:tc>
      </w:tr>
      <w:tr w:rsidR="005B0343" w14:paraId="09844861" w14:textId="77777777">
        <w:tc>
          <w:tcPr>
            <w:tcW w:w="3041" w:type="dxa"/>
            <w:shd w:val="clear" w:color="auto" w:fill="F9F9F9"/>
          </w:tcPr>
          <w:p w14:paraId="7BAD3750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Formation / Compétences</w:t>
            </w:r>
          </w:p>
        </w:tc>
        <w:tc>
          <w:tcPr>
            <w:tcW w:w="3041" w:type="dxa"/>
            <w:shd w:val="clear" w:color="auto" w:fill="F9F9F9"/>
          </w:tcPr>
          <w:p w14:paraId="3F2FE648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ISM Abidjan</w:t>
            </w:r>
          </w:p>
        </w:tc>
        <w:tc>
          <w:tcPr>
            <w:tcW w:w="3041" w:type="dxa"/>
            <w:shd w:val="clear" w:color="auto" w:fill="F9F9F9"/>
          </w:tcPr>
          <w:p w14:paraId="2BA2397D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https://www.ism.ci</w:t>
            </w:r>
          </w:p>
        </w:tc>
      </w:tr>
      <w:tr w:rsidR="005B0343" w14:paraId="617FA4B9" w14:textId="77777777">
        <w:tc>
          <w:tcPr>
            <w:tcW w:w="3041" w:type="dxa"/>
          </w:tcPr>
          <w:p w14:paraId="32D96E28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Opérations terrain</w:t>
            </w:r>
          </w:p>
        </w:tc>
        <w:tc>
          <w:tcPr>
            <w:tcW w:w="3041" w:type="dxa"/>
          </w:tcPr>
          <w:p w14:paraId="5A63C1DB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Bolloré Logistics</w:t>
            </w:r>
          </w:p>
        </w:tc>
        <w:tc>
          <w:tcPr>
            <w:tcW w:w="3041" w:type="dxa"/>
          </w:tcPr>
          <w:p w14:paraId="4010D9C8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https://www.bollore-logistics.com</w:t>
            </w:r>
          </w:p>
        </w:tc>
      </w:tr>
    </w:tbl>
    <w:p w14:paraId="78DF2997" w14:textId="77777777" w:rsidR="005B0343" w:rsidRDefault="005B0343">
      <w:pPr>
        <w:spacing w:after="120"/>
      </w:pPr>
    </w:p>
    <w:p w14:paraId="244B84A3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Limites de la V1</w:t>
      </w:r>
    </w:p>
    <w:p w14:paraId="002C2195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Un seul prospect à la fois</w:t>
      </w:r>
    </w:p>
    <w:p w14:paraId="381105BB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Aucun envoi automatique — copier-coller manuel du courrier</w:t>
      </w:r>
    </w:p>
    <w:p w14:paraId="00159E0C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Aucun stockage des résultats (pas de base de données)</w:t>
      </w:r>
    </w:p>
    <w:p w14:paraId="585CDC51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Aucun historique des prospects déjà contactés</w:t>
      </w:r>
    </w:p>
    <w:p w14:paraId="7D7D04D6" w14:textId="77777777" w:rsidR="005B0343" w:rsidRDefault="005B0343">
      <w:pPr>
        <w:pBdr>
          <w:bottom w:val="single" w:sz="4" w:space="1" w:color="CCCCCC"/>
        </w:pBdr>
      </w:pPr>
    </w:p>
    <w:p w14:paraId="402F856C" w14:textId="77777777" w:rsidR="005B0343" w:rsidRDefault="00000000">
      <w:pPr>
        <w:pBdr>
          <w:bottom w:val="single" w:sz="6" w:space="1" w:color="E87E04"/>
        </w:pBdr>
        <w:spacing w:before="400" w:after="80"/>
      </w:pPr>
      <w:r>
        <w:rPr>
          <w:rFonts w:ascii="Calibri" w:hAnsi="Calibri"/>
          <w:b/>
          <w:color w:val="1A1A2E"/>
          <w:sz w:val="32"/>
        </w:rPr>
        <w:t>PARTIE 2 — V2 : Stockage Supabase + Email d'approbation interne</w:t>
      </w:r>
    </w:p>
    <w:p w14:paraId="7A1E477D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Ce que la V2 ajoute à la V1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8"/>
        <w:gridCol w:w="3036"/>
        <w:gridCol w:w="3038"/>
      </w:tblGrid>
      <w:tr w:rsidR="005B0343" w14:paraId="316BB992" w14:textId="77777777">
        <w:tc>
          <w:tcPr>
            <w:tcW w:w="3041" w:type="dxa"/>
            <w:shd w:val="clear" w:color="auto" w:fill="1A1A2E"/>
          </w:tcPr>
          <w:p w14:paraId="76A97CA5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Fonctionnalité</w:t>
            </w:r>
          </w:p>
        </w:tc>
        <w:tc>
          <w:tcPr>
            <w:tcW w:w="3041" w:type="dxa"/>
            <w:shd w:val="clear" w:color="auto" w:fill="1A1A2E"/>
          </w:tcPr>
          <w:p w14:paraId="5F1FB7E8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V1</w:t>
            </w:r>
          </w:p>
        </w:tc>
        <w:tc>
          <w:tcPr>
            <w:tcW w:w="3041" w:type="dxa"/>
            <w:shd w:val="clear" w:color="auto" w:fill="1A1A2E"/>
          </w:tcPr>
          <w:p w14:paraId="5EDF23C2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V2</w:t>
            </w:r>
          </w:p>
        </w:tc>
      </w:tr>
      <w:tr w:rsidR="005B0343" w14:paraId="2324177F" w14:textId="77777777">
        <w:tc>
          <w:tcPr>
            <w:tcW w:w="3041" w:type="dxa"/>
          </w:tcPr>
          <w:p w14:paraId="0CBAE5B1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Génération du pack</w:t>
            </w:r>
          </w:p>
        </w:tc>
        <w:tc>
          <w:tcPr>
            <w:tcW w:w="3041" w:type="dxa"/>
          </w:tcPr>
          <w:p w14:paraId="790A6DFF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Oui</w:t>
            </w:r>
          </w:p>
        </w:tc>
        <w:tc>
          <w:tcPr>
            <w:tcW w:w="3041" w:type="dxa"/>
          </w:tcPr>
          <w:p w14:paraId="202AC068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Oui</w:t>
            </w:r>
          </w:p>
        </w:tc>
      </w:tr>
      <w:tr w:rsidR="005B0343" w14:paraId="351943B1" w14:textId="77777777">
        <w:tc>
          <w:tcPr>
            <w:tcW w:w="3041" w:type="dxa"/>
            <w:shd w:val="clear" w:color="auto" w:fill="F9F9F9"/>
          </w:tcPr>
          <w:p w14:paraId="3AA62214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Stockage Supabase</w:t>
            </w:r>
          </w:p>
        </w:tc>
        <w:tc>
          <w:tcPr>
            <w:tcW w:w="3041" w:type="dxa"/>
            <w:shd w:val="clear" w:color="auto" w:fill="F9F9F9"/>
          </w:tcPr>
          <w:p w14:paraId="127622EC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Non</w:t>
            </w:r>
          </w:p>
        </w:tc>
        <w:tc>
          <w:tcPr>
            <w:tcW w:w="3041" w:type="dxa"/>
            <w:shd w:val="clear" w:color="auto" w:fill="F9F9F9"/>
          </w:tcPr>
          <w:p w14:paraId="5926806A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Oui</w:t>
            </w:r>
          </w:p>
        </w:tc>
      </w:tr>
      <w:tr w:rsidR="005B0343" w14:paraId="3A68D485" w14:textId="77777777">
        <w:tc>
          <w:tcPr>
            <w:tcW w:w="3041" w:type="dxa"/>
          </w:tcPr>
          <w:p w14:paraId="2546A755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Email d'approbation interne</w:t>
            </w:r>
          </w:p>
        </w:tc>
        <w:tc>
          <w:tcPr>
            <w:tcW w:w="3041" w:type="dxa"/>
          </w:tcPr>
          <w:p w14:paraId="228E2D0A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Non</w:t>
            </w:r>
          </w:p>
        </w:tc>
        <w:tc>
          <w:tcPr>
            <w:tcW w:w="3041" w:type="dxa"/>
          </w:tcPr>
          <w:p w14:paraId="4362A536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Oui</w:t>
            </w:r>
          </w:p>
        </w:tc>
      </w:tr>
      <w:tr w:rsidR="005B0343" w14:paraId="3355C896" w14:textId="77777777">
        <w:tc>
          <w:tcPr>
            <w:tcW w:w="3041" w:type="dxa"/>
            <w:shd w:val="clear" w:color="auto" w:fill="F9F9F9"/>
          </w:tcPr>
          <w:p w14:paraId="62ADCC3B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Envoi email au prospect</w:t>
            </w:r>
          </w:p>
        </w:tc>
        <w:tc>
          <w:tcPr>
            <w:tcW w:w="3041" w:type="dxa"/>
            <w:shd w:val="clear" w:color="auto" w:fill="F9F9F9"/>
          </w:tcPr>
          <w:p w14:paraId="4080CC13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Non</w:t>
            </w:r>
          </w:p>
        </w:tc>
        <w:tc>
          <w:tcPr>
            <w:tcW w:w="3041" w:type="dxa"/>
            <w:shd w:val="clear" w:color="auto" w:fill="F9F9F9"/>
          </w:tcPr>
          <w:p w14:paraId="2821CA2C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Oui (après approbation)</w:t>
            </w:r>
          </w:p>
        </w:tc>
      </w:tr>
      <w:tr w:rsidR="005B0343" w14:paraId="5B44D17B" w14:textId="77777777">
        <w:tc>
          <w:tcPr>
            <w:tcW w:w="3041" w:type="dxa"/>
          </w:tcPr>
          <w:p w14:paraId="7CFCEAB8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Journal des contacts</w:t>
            </w:r>
          </w:p>
        </w:tc>
        <w:tc>
          <w:tcPr>
            <w:tcW w:w="3041" w:type="dxa"/>
          </w:tcPr>
          <w:p w14:paraId="0DC598F2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Non</w:t>
            </w:r>
          </w:p>
        </w:tc>
        <w:tc>
          <w:tcPr>
            <w:tcW w:w="3041" w:type="dxa"/>
          </w:tcPr>
          <w:p w14:paraId="70893861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Oui</w:t>
            </w:r>
          </w:p>
        </w:tc>
      </w:tr>
    </w:tbl>
    <w:p w14:paraId="7A253944" w14:textId="77777777" w:rsidR="005B0343" w:rsidRDefault="005B0343">
      <w:pPr>
        <w:spacing w:after="120"/>
      </w:pPr>
    </w:p>
    <w:p w14:paraId="0112E0E4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Architecture V2</w:t>
      </w:r>
    </w:p>
    <w:p w14:paraId="4C4A2F9E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>[V1 complet jusqu'à Assemble Prospect Pack]</w:t>
      </w:r>
    </w:p>
    <w:p w14:paraId="5511A15B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Store Pack In Supabase (sauvegarde dans ai_prospecting_packs)</w:t>
      </w:r>
    </w:p>
    <w:p w14:paraId="20680703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Build Approval Email (construit l'email d'approbation)</w:t>
      </w:r>
    </w:p>
    <w:p w14:paraId="51E1C798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Send Internal Approval Email (envoi à l'équipe TransferAI)</w:t>
      </w:r>
    </w:p>
    <w:p w14:paraId="5DB2F353" w14:textId="77777777" w:rsidR="005B0343" w:rsidRDefault="005B0343">
      <w:pPr>
        <w:shd w:val="clear" w:color="auto" w:fill="F0F0F0"/>
        <w:spacing w:after="0"/>
        <w:ind w:left="576"/>
      </w:pPr>
    </w:p>
    <w:p w14:paraId="352DA094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>[Sur clic du lien dans l'email d'approbation]</w:t>
      </w:r>
    </w:p>
    <w:p w14:paraId="3276170C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Approval Webhook (reçoit la décision)</w:t>
      </w:r>
    </w:p>
    <w:p w14:paraId="775EF38F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Parse Approval Query (lit la décision)</w:t>
      </w:r>
    </w:p>
    <w:p w14:paraId="10B2AABD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Get Pack From Supabase (récupère le pack)</w:t>
      </w:r>
    </w:p>
    <w:p w14:paraId="314CDCD1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Extract Pack Payload (décode le contenu)</w:t>
      </w:r>
    </w:p>
    <w:p w14:paraId="6CC014B1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If Approved ?</w:t>
      </w:r>
    </w:p>
    <w:p w14:paraId="1FE6B12E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→ OUI → Mark Pack Approved → Send External Prospect Email → Log Outreach Attempt → Approval Success Response</w:t>
      </w:r>
    </w:p>
    <w:p w14:paraId="7027F452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→ NON → Mark Pack Rejected → Rejection Response</w:t>
      </w:r>
    </w:p>
    <w:p w14:paraId="47D4D9FC" w14:textId="77777777" w:rsidR="005B0343" w:rsidRDefault="005B0343">
      <w:pPr>
        <w:spacing w:after="80"/>
      </w:pPr>
    </w:p>
    <w:p w14:paraId="4BBB7D7A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Étapes supplémentaires V2</w:t>
      </w:r>
    </w:p>
    <w:p w14:paraId="72C97E7E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Store Pack In Supabase</w:t>
      </w:r>
    </w:p>
    <w:p w14:paraId="3706AB6C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Sauvegarde le pack complet dans la table </w:t>
      </w:r>
      <w:r>
        <w:rPr>
          <w:rFonts w:ascii="Courier New" w:hAnsi="Courier New"/>
          <w:color w:val="C0392B"/>
          <w:sz w:val="20"/>
        </w:rPr>
        <w:t>ai_prospecting_packs</w:t>
      </w:r>
      <w:r>
        <w:rPr>
          <w:rFonts w:ascii="Calibri" w:hAnsi="Calibri"/>
          <w:color w:val="2C2C2C"/>
        </w:rPr>
        <w:t xml:space="preserve"> de Supabase. Statut initial : </w:t>
      </w:r>
      <w:r>
        <w:rPr>
          <w:rFonts w:ascii="Courier New" w:hAnsi="Courier New"/>
          <w:color w:val="C0392B"/>
          <w:sz w:val="20"/>
        </w:rPr>
        <w:t>pending_approval</w:t>
      </w:r>
      <w:r>
        <w:rPr>
          <w:rFonts w:ascii="Calibri" w:hAnsi="Calibri"/>
          <w:color w:val="2C2C2C"/>
        </w:rPr>
        <w:t>.</w:t>
      </w:r>
    </w:p>
    <w:p w14:paraId="15EB2D9F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Champs stockés : </w:t>
      </w:r>
      <w:r>
        <w:rPr>
          <w:rFonts w:ascii="Courier New" w:hAnsi="Courier New"/>
          <w:color w:val="C0392B"/>
          <w:sz w:val="20"/>
        </w:rPr>
        <w:t>pack_id</w:t>
      </w:r>
      <w:r>
        <w:rPr>
          <w:rFonts w:ascii="Calibri" w:hAnsi="Calibri"/>
          <w:color w:val="2C2C2C"/>
        </w:rPr>
        <w:t xml:space="preserve">, </w:t>
      </w:r>
      <w:r>
        <w:rPr>
          <w:rFonts w:ascii="Courier New" w:hAnsi="Courier New"/>
          <w:color w:val="C0392B"/>
          <w:sz w:val="20"/>
        </w:rPr>
        <w:t>prospect_id</w:t>
      </w:r>
      <w:r>
        <w:rPr>
          <w:rFonts w:ascii="Calibri" w:hAnsi="Calibri"/>
          <w:color w:val="2C2C2C"/>
        </w:rPr>
        <w:t xml:space="preserve">, </w:t>
      </w:r>
      <w:r>
        <w:rPr>
          <w:rFonts w:ascii="Courier New" w:hAnsi="Courier New"/>
          <w:color w:val="C0392B"/>
          <w:sz w:val="20"/>
        </w:rPr>
        <w:t>organization_name</w:t>
      </w:r>
      <w:r>
        <w:rPr>
          <w:rFonts w:ascii="Calibri" w:hAnsi="Calibri"/>
          <w:color w:val="2C2C2C"/>
        </w:rPr>
        <w:t xml:space="preserve">, </w:t>
      </w:r>
      <w:r>
        <w:rPr>
          <w:rFonts w:ascii="Courier New" w:hAnsi="Courier New"/>
          <w:color w:val="C0392B"/>
          <w:sz w:val="20"/>
        </w:rPr>
        <w:t>target_email</w:t>
      </w:r>
      <w:r>
        <w:rPr>
          <w:rFonts w:ascii="Calibri" w:hAnsi="Calibri"/>
          <w:color w:val="2C2C2C"/>
        </w:rPr>
        <w:t xml:space="preserve">, </w:t>
      </w:r>
      <w:r>
        <w:rPr>
          <w:rFonts w:ascii="Courier New" w:hAnsi="Courier New"/>
          <w:color w:val="C0392B"/>
          <w:sz w:val="20"/>
        </w:rPr>
        <w:t>payload</w:t>
      </w:r>
      <w:r>
        <w:rPr>
          <w:rFonts w:ascii="Calibri" w:hAnsi="Calibri"/>
          <w:color w:val="2C2C2C"/>
        </w:rPr>
        <w:t xml:space="preserve"> (pack complet), </w:t>
      </w:r>
      <w:r>
        <w:rPr>
          <w:rFonts w:ascii="Courier New" w:hAnsi="Courier New"/>
          <w:color w:val="C0392B"/>
          <w:sz w:val="20"/>
        </w:rPr>
        <w:t>llm_redaction_summary</w:t>
      </w:r>
      <w:r>
        <w:rPr>
          <w:rFonts w:ascii="Calibri" w:hAnsi="Calibri"/>
          <w:color w:val="2C2C2C"/>
        </w:rPr>
        <w:t>.</w:t>
      </w:r>
    </w:p>
    <w:p w14:paraId="7A41E900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Build Approval Email</w:t>
      </w:r>
    </w:p>
    <w:p w14:paraId="4D94A6B3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Construit un email HTML avec :</w:t>
      </w:r>
    </w:p>
    <w:p w14:paraId="5ACC0B0D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Résumé du prospect analysé</w:t>
      </w:r>
    </w:p>
    <w:p w14:paraId="60D0CC62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Extrait du courrier généré</w:t>
      </w:r>
    </w:p>
    <w:p w14:paraId="453DC390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 xml:space="preserve">Deux boutons : </w:t>
      </w:r>
      <w:r>
        <w:rPr>
          <w:rFonts w:ascii="Calibri" w:hAnsi="Calibri"/>
          <w:b/>
        </w:rPr>
        <w:t>Approuver</w:t>
      </w:r>
      <w:r>
        <w:rPr>
          <w:rFonts w:ascii="Calibri" w:hAnsi="Calibri"/>
        </w:rPr>
        <w:t xml:space="preserve"> / </w:t>
      </w:r>
      <w:r>
        <w:rPr>
          <w:rFonts w:ascii="Calibri" w:hAnsi="Calibri"/>
          <w:b/>
        </w:rPr>
        <w:t>Rejeter</w:t>
      </w:r>
    </w:p>
    <w:p w14:paraId="6D843DBB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 xml:space="preserve">Les boutons pointent vers l'URL du webhook n8n avec </w:t>
      </w:r>
      <w:r>
        <w:rPr>
          <w:rFonts w:ascii="Courier New" w:hAnsi="Courier New"/>
          <w:color w:val="C0392B"/>
          <w:sz w:val="20"/>
        </w:rPr>
        <w:t>pack_id</w:t>
      </w:r>
      <w:r>
        <w:rPr>
          <w:rFonts w:ascii="Calibri" w:hAnsi="Calibri"/>
        </w:rPr>
        <w:t xml:space="preserve"> et </w:t>
      </w:r>
      <w:r>
        <w:rPr>
          <w:rFonts w:ascii="Courier New" w:hAnsi="Courier New"/>
          <w:color w:val="C0392B"/>
          <w:sz w:val="20"/>
        </w:rPr>
        <w:t>decision</w:t>
      </w:r>
    </w:p>
    <w:p w14:paraId="054127A6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Send Internal Approval Email</w:t>
      </w:r>
    </w:p>
    <w:p w14:paraId="2F9AB065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Envoie l'email à l'adresse interne TransferAI via SMTP ou SendGrid.</w:t>
      </w:r>
    </w:p>
    <w:p w14:paraId="5C6DE928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Approval Webhook</w:t>
      </w:r>
    </w:p>
    <w:p w14:paraId="7F9694E5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URL publique n8n qui reçoit les clics sur les boutons Approuver/Rejeter. Doit être accessible depuis internet.</w:t>
      </w:r>
    </w:p>
    <w:p w14:paraId="4EDB0E93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If Approved</w:t>
      </w:r>
    </w:p>
    <w:p w14:paraId="44CB0122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Branche selon la décision reçue.</w:t>
      </w:r>
    </w:p>
    <w:p w14:paraId="3AF74620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Send External Prospect Email</w:t>
      </w:r>
    </w:p>
    <w:p w14:paraId="3B4A0C1F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Si approuvé : envoie le courrier exécutif hydraté à </w:t>
      </w:r>
      <w:r>
        <w:rPr>
          <w:rFonts w:ascii="Courier New" w:hAnsi="Courier New"/>
          <w:color w:val="C0392B"/>
          <w:sz w:val="20"/>
        </w:rPr>
        <w:t>target_email</w:t>
      </w:r>
      <w:r>
        <w:rPr>
          <w:rFonts w:ascii="Calibri" w:hAnsi="Calibri"/>
          <w:color w:val="2C2C2C"/>
        </w:rPr>
        <w:t xml:space="preserve"> du prospect.</w:t>
      </w:r>
    </w:p>
    <w:p w14:paraId="22BFDA94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Log Outreach Attempt</w:t>
      </w:r>
    </w:p>
    <w:p w14:paraId="35312706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Enregistre dans </w:t>
      </w:r>
      <w:r>
        <w:rPr>
          <w:rFonts w:ascii="Courier New" w:hAnsi="Courier New"/>
          <w:color w:val="C0392B"/>
          <w:sz w:val="20"/>
        </w:rPr>
        <w:t>outreach_attempts</w:t>
      </w:r>
      <w:r>
        <w:rPr>
          <w:rFonts w:ascii="Calibri" w:hAnsi="Calibri"/>
          <w:color w:val="2C2C2C"/>
        </w:rPr>
        <w:t xml:space="preserve"> : </w:t>
      </w:r>
      <w:r>
        <w:rPr>
          <w:rFonts w:ascii="Courier New" w:hAnsi="Courier New"/>
          <w:color w:val="C0392B"/>
          <w:sz w:val="20"/>
        </w:rPr>
        <w:t>prospect_id</w:t>
      </w:r>
      <w:r>
        <w:rPr>
          <w:rFonts w:ascii="Calibri" w:hAnsi="Calibri"/>
          <w:color w:val="2C2C2C"/>
        </w:rPr>
        <w:t xml:space="preserve">, </w:t>
      </w:r>
      <w:r>
        <w:rPr>
          <w:rFonts w:ascii="Courier New" w:hAnsi="Courier New"/>
          <w:color w:val="C0392B"/>
          <w:sz w:val="20"/>
        </w:rPr>
        <w:t>pack_id</w:t>
      </w:r>
      <w:r>
        <w:rPr>
          <w:rFonts w:ascii="Calibri" w:hAnsi="Calibri"/>
          <w:color w:val="2C2C2C"/>
        </w:rPr>
        <w:t xml:space="preserve">, </w:t>
      </w:r>
      <w:r>
        <w:rPr>
          <w:rFonts w:ascii="Courier New" w:hAnsi="Courier New"/>
          <w:color w:val="C0392B"/>
          <w:sz w:val="20"/>
        </w:rPr>
        <w:t>sent_at</w:t>
      </w:r>
      <w:r>
        <w:rPr>
          <w:rFonts w:ascii="Calibri" w:hAnsi="Calibri"/>
          <w:color w:val="2C2C2C"/>
        </w:rPr>
        <w:t xml:space="preserve">, </w:t>
      </w:r>
      <w:r>
        <w:rPr>
          <w:rFonts w:ascii="Courier New" w:hAnsi="Courier New"/>
          <w:color w:val="C0392B"/>
          <w:sz w:val="20"/>
        </w:rPr>
        <w:t>channel: email</w:t>
      </w:r>
      <w:r>
        <w:rPr>
          <w:rFonts w:ascii="Calibri" w:hAnsi="Calibri"/>
          <w:color w:val="2C2C2C"/>
        </w:rPr>
        <w:t>.</w:t>
      </w:r>
    </w:p>
    <w:p w14:paraId="39B2E10E" w14:textId="77777777" w:rsidR="005B0343" w:rsidRDefault="005B0343">
      <w:pPr>
        <w:pBdr>
          <w:bottom w:val="single" w:sz="4" w:space="1" w:color="CCCCCC"/>
        </w:pBdr>
      </w:pPr>
    </w:p>
    <w:p w14:paraId="1E70A1B1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Guide d'utilisation V2</w:t>
      </w:r>
    </w:p>
    <w:p w14:paraId="61F7C157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Prérequis supplémentaires</w:t>
      </w:r>
    </w:p>
    <w:p w14:paraId="78C10FBA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 xml:space="preserve">Compte </w:t>
      </w:r>
      <w:r>
        <w:rPr>
          <w:rFonts w:ascii="Calibri" w:hAnsi="Calibri"/>
          <w:b/>
        </w:rPr>
        <w:t>Supabase</w:t>
      </w:r>
      <w:r>
        <w:rPr>
          <w:rFonts w:ascii="Calibri" w:hAnsi="Calibri"/>
        </w:rPr>
        <w:t xml:space="preserve"> avec les tables créées (voir </w:t>
      </w:r>
      <w:r>
        <w:rPr>
          <w:rFonts w:ascii="Courier New" w:hAnsi="Courier New"/>
          <w:color w:val="C0392B"/>
          <w:sz w:val="20"/>
        </w:rPr>
        <w:t>50_Schema_Supabase_Prospection_Multi_Prospects.md</w:t>
      </w:r>
      <w:r>
        <w:rPr>
          <w:rFonts w:ascii="Calibri" w:hAnsi="Calibri"/>
        </w:rPr>
        <w:t>)</w:t>
      </w:r>
    </w:p>
    <w:p w14:paraId="21854CB5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 xml:space="preserve">Compte email SMTP ou </w:t>
      </w:r>
      <w:r>
        <w:rPr>
          <w:rFonts w:ascii="Calibri" w:hAnsi="Calibri"/>
          <w:b/>
        </w:rPr>
        <w:t>SendGrid</w:t>
      </w:r>
      <w:r>
        <w:rPr>
          <w:rFonts w:ascii="Calibri" w:hAnsi="Calibri"/>
        </w:rPr>
        <w:t xml:space="preserve"> pour l'envoi</w:t>
      </w:r>
    </w:p>
    <w:p w14:paraId="11DC7214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URL n8n accessible depuis internet (pour le webhook d'approbation)</w:t>
      </w:r>
    </w:p>
    <w:p w14:paraId="51113731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Configuration des credentials n8n</w:t>
      </w:r>
    </w:p>
    <w:p w14:paraId="1C7F290C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Dans n8n → </w:t>
      </w:r>
      <w:r>
        <w:rPr>
          <w:rFonts w:ascii="Calibri" w:hAnsi="Calibri"/>
          <w:b/>
        </w:rPr>
        <w:t>Settings</w:t>
      </w:r>
      <w:r>
        <w:rPr>
          <w:rFonts w:ascii="Calibri" w:hAnsi="Calibri"/>
        </w:rPr>
        <w:t xml:space="preserve"> → </w:t>
      </w:r>
      <w:r>
        <w:rPr>
          <w:rFonts w:ascii="Calibri" w:hAnsi="Calibri"/>
          <w:b/>
        </w:rPr>
        <w:t>Credentials</w:t>
      </w:r>
    </w:p>
    <w:p w14:paraId="55566775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Créer : </w:t>
      </w:r>
      <w:r>
        <w:rPr>
          <w:rFonts w:ascii="Courier New" w:hAnsi="Courier New"/>
          <w:color w:val="C0392B"/>
          <w:sz w:val="20"/>
        </w:rPr>
        <w:t>Supabase API</w:t>
      </w:r>
      <w:r>
        <w:rPr>
          <w:rFonts w:ascii="Calibri" w:hAnsi="Calibri"/>
        </w:rPr>
        <w:t xml:space="preserve"> — renseigner URL et service role key</w:t>
      </w:r>
    </w:p>
    <w:p w14:paraId="6ECBD2E3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Créer : </w:t>
      </w:r>
      <w:r>
        <w:rPr>
          <w:rFonts w:ascii="Courier New" w:hAnsi="Courier New"/>
          <w:color w:val="C0392B"/>
          <w:sz w:val="20"/>
        </w:rPr>
        <w:t>SMTP</w:t>
      </w:r>
      <w:r>
        <w:rPr>
          <w:rFonts w:ascii="Calibri" w:hAnsi="Calibri"/>
        </w:rPr>
        <w:t xml:space="preserve"> ou </w:t>
      </w:r>
      <w:r>
        <w:rPr>
          <w:rFonts w:ascii="Courier New" w:hAnsi="Courier New"/>
          <w:color w:val="C0392B"/>
          <w:sz w:val="20"/>
        </w:rPr>
        <w:t>SendGrid</w:t>
      </w:r>
      <w:r>
        <w:rPr>
          <w:rFonts w:ascii="Calibri" w:hAnsi="Calibri"/>
        </w:rPr>
        <w:t xml:space="preserve"> — renseigner les identifiants email</w:t>
      </w:r>
    </w:p>
    <w:p w14:paraId="1C663113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>Ouvrir chaque nœud HTTP qui appelle Supabase → mettre à jour l'URL et la clé</w:t>
      </w:r>
    </w:p>
    <w:p w14:paraId="17755AE1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Procédure d'utilisation V2</w:t>
      </w:r>
    </w:p>
    <w:p w14:paraId="0C2C2D54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Importer </w:t>
      </w:r>
      <w:r>
        <w:rPr>
          <w:rFonts w:ascii="Courier New" w:hAnsi="Courier New"/>
          <w:color w:val="C0392B"/>
          <w:sz w:val="20"/>
        </w:rPr>
        <w:t>43_n8n_Prospection_Modele_Elton_V2_Supabase_Approval_Email.json</w:t>
      </w:r>
    </w:p>
    <w:p w14:paraId="15D39CDA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Configurer </w:t>
      </w:r>
      <w:r>
        <w:rPr>
          <w:rFonts w:ascii="Courier New" w:hAnsi="Courier New"/>
          <w:color w:val="C0392B"/>
          <w:sz w:val="20"/>
        </w:rPr>
        <w:t>Set Target</w:t>
      </w:r>
      <w:r>
        <w:rPr>
          <w:rFonts w:ascii="Calibri" w:hAnsi="Calibri"/>
        </w:rPr>
        <w:t xml:space="preserve"> avec les données du prospect + </w:t>
      </w:r>
      <w:r>
        <w:rPr>
          <w:rFonts w:ascii="Courier New" w:hAnsi="Courier New"/>
          <w:color w:val="C0392B"/>
          <w:sz w:val="20"/>
        </w:rPr>
        <w:t>target_email</w:t>
      </w:r>
    </w:p>
    <w:p w14:paraId="7235068C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Cliquer </w:t>
      </w:r>
      <w:r>
        <w:rPr>
          <w:rFonts w:ascii="Calibri" w:hAnsi="Calibri"/>
          <w:b/>
        </w:rPr>
        <w:t>Execute workflow</w:t>
      </w:r>
    </w:p>
    <w:p w14:paraId="77492144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>Recevoir l'email d'approbation interne</w:t>
      </w:r>
    </w:p>
    <w:p w14:paraId="4B8E2A02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Cliquer </w:t>
      </w:r>
      <w:r>
        <w:rPr>
          <w:rFonts w:ascii="Calibri" w:hAnsi="Calibri"/>
          <w:b/>
        </w:rPr>
        <w:t>Approuver</w:t>
      </w:r>
      <w:r>
        <w:rPr>
          <w:rFonts w:ascii="Calibri" w:hAnsi="Calibri"/>
        </w:rPr>
        <w:t xml:space="preserve"> → le courrier est envoyé automatiquement au prospect</w:t>
      </w:r>
    </w:p>
    <w:p w14:paraId="27EE75C1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Cliquer </w:t>
      </w:r>
      <w:r>
        <w:rPr>
          <w:rFonts w:ascii="Calibri" w:hAnsi="Calibri"/>
          <w:b/>
        </w:rPr>
        <w:t>Rejeter</w:t>
      </w:r>
      <w:r>
        <w:rPr>
          <w:rFonts w:ascii="Calibri" w:hAnsi="Calibri"/>
        </w:rPr>
        <w:t xml:space="preserve"> → le pack est marqué rejeté, rien n'est envoyé</w:t>
      </w:r>
    </w:p>
    <w:p w14:paraId="02283D97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Ajouter le champ target_email</w:t>
      </w:r>
    </w:p>
    <w:p w14:paraId="5CCF807A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Dans le nœud </w:t>
      </w:r>
      <w:r>
        <w:rPr>
          <w:rFonts w:ascii="Courier New" w:hAnsi="Courier New"/>
          <w:color w:val="C0392B"/>
          <w:sz w:val="20"/>
        </w:rPr>
        <w:t>Set Target</w:t>
      </w:r>
      <w:r>
        <w:rPr>
          <w:rFonts w:ascii="Calibri" w:hAnsi="Calibri"/>
          <w:color w:val="2C2C2C"/>
        </w:rPr>
        <w:t>, ajouter un champ :</w:t>
      </w:r>
    </w:p>
    <w:p w14:paraId="1F80B220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 xml:space="preserve">Nom : </w:t>
      </w:r>
      <w:r>
        <w:rPr>
          <w:rFonts w:ascii="Courier New" w:hAnsi="Courier New"/>
          <w:color w:val="C0392B"/>
          <w:sz w:val="20"/>
        </w:rPr>
        <w:t>target_email</w:t>
      </w:r>
    </w:p>
    <w:p w14:paraId="273E2C06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 xml:space="preserve">Valeur : adresse email du décideur (ex : </w:t>
      </w:r>
      <w:r>
        <w:rPr>
          <w:rFonts w:ascii="Courier New" w:hAnsi="Courier New"/>
          <w:color w:val="C0392B"/>
          <w:sz w:val="20"/>
        </w:rPr>
        <w:t>dg@orange.ci</w:t>
      </w:r>
      <w:r>
        <w:rPr>
          <w:rFonts w:ascii="Calibri" w:hAnsi="Calibri"/>
        </w:rPr>
        <w:t>)</w:t>
      </w:r>
    </w:p>
    <w:p w14:paraId="172BB714" w14:textId="77777777" w:rsidR="005B0343" w:rsidRDefault="005B0343">
      <w:pPr>
        <w:pBdr>
          <w:bottom w:val="single" w:sz="4" w:space="1" w:color="CCCCCC"/>
        </w:pBdr>
      </w:pPr>
    </w:p>
    <w:p w14:paraId="031B2607" w14:textId="77777777" w:rsidR="005B0343" w:rsidRDefault="00000000">
      <w:pPr>
        <w:pBdr>
          <w:bottom w:val="single" w:sz="6" w:space="1" w:color="E87E04"/>
        </w:pBdr>
        <w:spacing w:before="400" w:after="80"/>
      </w:pPr>
      <w:r>
        <w:rPr>
          <w:rFonts w:ascii="Calibri" w:hAnsi="Calibri"/>
          <w:b/>
          <w:color w:val="1A1A2E"/>
          <w:sz w:val="32"/>
        </w:rPr>
        <w:t>PARTIE 3 — V3 : Envoi automatique avec contrôle qualité</w:t>
      </w:r>
    </w:p>
    <w:p w14:paraId="438E9104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Ce que la V3 ajoute à la V2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8"/>
        <w:gridCol w:w="3037"/>
        <w:gridCol w:w="3037"/>
      </w:tblGrid>
      <w:tr w:rsidR="005B0343" w14:paraId="258CE6FA" w14:textId="77777777">
        <w:tc>
          <w:tcPr>
            <w:tcW w:w="3041" w:type="dxa"/>
            <w:shd w:val="clear" w:color="auto" w:fill="1A1A2E"/>
          </w:tcPr>
          <w:p w14:paraId="4F5E2251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Fonctionnalité</w:t>
            </w:r>
          </w:p>
        </w:tc>
        <w:tc>
          <w:tcPr>
            <w:tcW w:w="3041" w:type="dxa"/>
            <w:shd w:val="clear" w:color="auto" w:fill="1A1A2E"/>
          </w:tcPr>
          <w:p w14:paraId="6957626D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V2</w:t>
            </w:r>
          </w:p>
        </w:tc>
        <w:tc>
          <w:tcPr>
            <w:tcW w:w="3041" w:type="dxa"/>
            <w:shd w:val="clear" w:color="auto" w:fill="1A1A2E"/>
          </w:tcPr>
          <w:p w14:paraId="5867EA1B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V3</w:t>
            </w:r>
          </w:p>
        </w:tc>
      </w:tr>
      <w:tr w:rsidR="005B0343" w14:paraId="15A9A4E7" w14:textId="77777777">
        <w:tc>
          <w:tcPr>
            <w:tcW w:w="3041" w:type="dxa"/>
          </w:tcPr>
          <w:p w14:paraId="2985BE24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Email d'approbation</w:t>
            </w:r>
          </w:p>
        </w:tc>
        <w:tc>
          <w:tcPr>
            <w:tcW w:w="3041" w:type="dxa"/>
          </w:tcPr>
          <w:p w14:paraId="0ADC4333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Oui</w:t>
            </w:r>
          </w:p>
        </w:tc>
        <w:tc>
          <w:tcPr>
            <w:tcW w:w="3041" w:type="dxa"/>
          </w:tcPr>
          <w:p w14:paraId="3F0AA005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Oui</w:t>
            </w:r>
          </w:p>
        </w:tc>
      </w:tr>
      <w:tr w:rsidR="005B0343" w14:paraId="368E6FA5" w14:textId="77777777">
        <w:tc>
          <w:tcPr>
            <w:tcW w:w="3041" w:type="dxa"/>
            <w:shd w:val="clear" w:color="auto" w:fill="F9F9F9"/>
          </w:tcPr>
          <w:p w14:paraId="2827F787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Vérification pré-envoi</w:t>
            </w:r>
          </w:p>
        </w:tc>
        <w:tc>
          <w:tcPr>
            <w:tcW w:w="3041" w:type="dxa"/>
            <w:shd w:val="clear" w:color="auto" w:fill="F9F9F9"/>
          </w:tcPr>
          <w:p w14:paraId="204FC612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Non</w:t>
            </w:r>
          </w:p>
        </w:tc>
        <w:tc>
          <w:tcPr>
            <w:tcW w:w="3041" w:type="dxa"/>
            <w:shd w:val="clear" w:color="auto" w:fill="F9F9F9"/>
          </w:tcPr>
          <w:p w14:paraId="2F6E53B7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Oui</w:t>
            </w:r>
          </w:p>
        </w:tc>
      </w:tr>
      <w:tr w:rsidR="005B0343" w14:paraId="4951A115" w14:textId="77777777">
        <w:tc>
          <w:tcPr>
            <w:tcW w:w="3041" w:type="dxa"/>
          </w:tcPr>
          <w:p w14:paraId="115DD074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Confirmation d'envoi interne</w:t>
            </w:r>
          </w:p>
        </w:tc>
        <w:tc>
          <w:tcPr>
            <w:tcW w:w="3041" w:type="dxa"/>
          </w:tcPr>
          <w:p w14:paraId="5712BEDE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Non</w:t>
            </w:r>
          </w:p>
        </w:tc>
        <w:tc>
          <w:tcPr>
            <w:tcW w:w="3041" w:type="dxa"/>
          </w:tcPr>
          <w:p w14:paraId="0531247E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Oui</w:t>
            </w:r>
          </w:p>
        </w:tc>
      </w:tr>
      <w:tr w:rsidR="005B0343" w14:paraId="4C9C88BA" w14:textId="77777777">
        <w:tc>
          <w:tcPr>
            <w:tcW w:w="3041" w:type="dxa"/>
            <w:shd w:val="clear" w:color="auto" w:fill="F9F9F9"/>
          </w:tcPr>
          <w:p w14:paraId="5B9D7C04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Gestion des erreurs d'approbation</w:t>
            </w:r>
          </w:p>
        </w:tc>
        <w:tc>
          <w:tcPr>
            <w:tcW w:w="3041" w:type="dxa"/>
            <w:shd w:val="clear" w:color="auto" w:fill="F9F9F9"/>
          </w:tcPr>
          <w:p w14:paraId="43AB9A0B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Non</w:t>
            </w:r>
          </w:p>
        </w:tc>
        <w:tc>
          <w:tcPr>
            <w:tcW w:w="3041" w:type="dxa"/>
            <w:shd w:val="clear" w:color="auto" w:fill="F9F9F9"/>
          </w:tcPr>
          <w:p w14:paraId="294163C0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Oui</w:t>
            </w:r>
          </w:p>
        </w:tc>
      </w:tr>
      <w:tr w:rsidR="005B0343" w14:paraId="28E65DB6" w14:textId="77777777">
        <w:tc>
          <w:tcPr>
            <w:tcW w:w="3041" w:type="dxa"/>
          </w:tcPr>
          <w:p w14:paraId="2C362874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Prêt pour être appelé par V4</w:t>
            </w:r>
          </w:p>
        </w:tc>
        <w:tc>
          <w:tcPr>
            <w:tcW w:w="3041" w:type="dxa"/>
          </w:tcPr>
          <w:p w14:paraId="34BABEA9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Partiel</w:t>
            </w:r>
          </w:p>
        </w:tc>
        <w:tc>
          <w:tcPr>
            <w:tcW w:w="3041" w:type="dxa"/>
          </w:tcPr>
          <w:p w14:paraId="7B312F09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Oui (Execute Workflow Trigger)</w:t>
            </w:r>
          </w:p>
        </w:tc>
      </w:tr>
    </w:tbl>
    <w:p w14:paraId="28A5E91C" w14:textId="77777777" w:rsidR="005B0343" w:rsidRDefault="005B0343">
      <w:pPr>
        <w:spacing w:after="120"/>
      </w:pPr>
    </w:p>
    <w:p w14:paraId="7FEC906A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Architecture V3 (ajouts vs V2)</w:t>
      </w:r>
    </w:p>
    <w:p w14:paraId="316D2A05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>[Après If Approved]</w:t>
      </w:r>
    </w:p>
    <w:p w14:paraId="43F1D0DE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Build Send Context (vérifie que le pack est complet)</w:t>
      </w:r>
    </w:p>
    <w:p w14:paraId="2EE6A054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If Ready To Send ?</w:t>
      </w:r>
    </w:p>
    <w:p w14:paraId="60A17B86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→ OUI → Mark Pack Approved → Send External Prospect Email</w:t>
      </w:r>
    </w:p>
    <w:p w14:paraId="2E0CA8AF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        → Parse Send Result → Mark Pack Sent</w:t>
      </w:r>
    </w:p>
    <w:p w14:paraId="36B015B8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        → Log Outreach Attempt → Send Internal Sent Confirmation</w:t>
      </w:r>
    </w:p>
    <w:p w14:paraId="1C3E0D03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→ NON → Mark Pack Approval Error → Approval Error Response</w:t>
      </w:r>
    </w:p>
    <w:p w14:paraId="1385E56A" w14:textId="77777777" w:rsidR="005B0343" w:rsidRDefault="005B0343">
      <w:pPr>
        <w:spacing w:after="80"/>
      </w:pPr>
    </w:p>
    <w:p w14:paraId="12BEC543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Étapes supplémentaires V3</w:t>
      </w:r>
    </w:p>
    <w:p w14:paraId="3BA26632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Build Send Context</w:t>
      </w:r>
    </w:p>
    <w:p w14:paraId="6037513F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Vérifie avant envoi :</w:t>
      </w:r>
    </w:p>
    <w:p w14:paraId="4534C9DC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target_email</w:t>
      </w:r>
      <w:r>
        <w:rPr>
          <w:rFonts w:ascii="Calibri" w:hAnsi="Calibri"/>
        </w:rPr>
        <w:t xml:space="preserve"> est renseigné</w:t>
      </w:r>
    </w:p>
    <w:p w14:paraId="1530CCF3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executive_letter</w:t>
      </w:r>
      <w:r>
        <w:rPr>
          <w:rFonts w:ascii="Calibri" w:hAnsi="Calibri"/>
        </w:rPr>
        <w:t xml:space="preserve"> n'est pas vide</w:t>
      </w:r>
    </w:p>
    <w:p w14:paraId="0C333975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organization_name</w:t>
      </w:r>
      <w:r>
        <w:rPr>
          <w:rFonts w:ascii="Calibri" w:hAnsi="Calibri"/>
        </w:rPr>
        <w:t xml:space="preserve"> est présent</w:t>
      </w:r>
    </w:p>
    <w:p w14:paraId="242FF34E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approved_for_send</w:t>
      </w:r>
      <w:r>
        <w:rPr>
          <w:rFonts w:ascii="Calibri" w:hAnsi="Calibri"/>
        </w:rPr>
        <w:t xml:space="preserve"> est </w:t>
      </w:r>
      <w:r>
        <w:rPr>
          <w:rFonts w:ascii="Courier New" w:hAnsi="Courier New"/>
          <w:color w:val="C0392B"/>
          <w:sz w:val="20"/>
        </w:rPr>
        <w:t>true</w:t>
      </w:r>
    </w:p>
    <w:p w14:paraId="5E95BAD8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If Ready To Send</w:t>
      </w:r>
    </w:p>
    <w:p w14:paraId="312DE38F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Bloque l'envoi si une condition manque. Évite les envois incomplets.</w:t>
      </w:r>
    </w:p>
    <w:p w14:paraId="487FBECA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Parse Send Result</w:t>
      </w:r>
    </w:p>
    <w:p w14:paraId="67C71D0D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Analyse le résultat de l'envoi email (succès, rebond, erreur SMTP).</w:t>
      </w:r>
    </w:p>
    <w:p w14:paraId="5CB27B79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Mark Pack Sent</w:t>
      </w:r>
    </w:p>
    <w:p w14:paraId="4637C58C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Met à jour le statut du pack dans Supabase : </w:t>
      </w:r>
      <w:r>
        <w:rPr>
          <w:rFonts w:ascii="Courier New" w:hAnsi="Courier New"/>
          <w:color w:val="C0392B"/>
          <w:sz w:val="20"/>
        </w:rPr>
        <w:t>sent</w:t>
      </w:r>
      <w:r>
        <w:rPr>
          <w:rFonts w:ascii="Calibri" w:hAnsi="Calibri"/>
          <w:color w:val="2C2C2C"/>
        </w:rPr>
        <w:t xml:space="preserve">. Enregistre </w:t>
      </w:r>
      <w:r>
        <w:rPr>
          <w:rFonts w:ascii="Courier New" w:hAnsi="Courier New"/>
          <w:color w:val="C0392B"/>
          <w:sz w:val="20"/>
        </w:rPr>
        <w:t>sent_at</w:t>
      </w:r>
      <w:r>
        <w:rPr>
          <w:rFonts w:ascii="Calibri" w:hAnsi="Calibri"/>
          <w:color w:val="2C2C2C"/>
        </w:rPr>
        <w:t>.</w:t>
      </w:r>
    </w:p>
    <w:p w14:paraId="64A2579C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Send Internal Sent Confirmation</w:t>
      </w:r>
    </w:p>
    <w:p w14:paraId="4307EE03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Envoie un email de confirmation à l'équipe TransferAI avec le résumé de l'envoi.</w:t>
      </w:r>
    </w:p>
    <w:p w14:paraId="2242C9F9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Mark Pack Approval Error</w:t>
      </w:r>
    </w:p>
    <w:p w14:paraId="774B29F9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Si le pack était incomplet au moment de l'approbation, marque le statut </w:t>
      </w:r>
      <w:r>
        <w:rPr>
          <w:rFonts w:ascii="Courier New" w:hAnsi="Courier New"/>
          <w:color w:val="C0392B"/>
          <w:sz w:val="20"/>
        </w:rPr>
        <w:t>approval_error</w:t>
      </w:r>
      <w:r>
        <w:rPr>
          <w:rFonts w:ascii="Calibri" w:hAnsi="Calibri"/>
          <w:color w:val="2C2C2C"/>
        </w:rPr>
        <w:t xml:space="preserve"> dans Supabase.</w:t>
      </w:r>
    </w:p>
    <w:p w14:paraId="19963177" w14:textId="77777777" w:rsidR="005B0343" w:rsidRDefault="005B0343">
      <w:pPr>
        <w:pBdr>
          <w:bottom w:val="single" w:sz="4" w:space="1" w:color="CCCCCC"/>
        </w:pBdr>
      </w:pPr>
    </w:p>
    <w:p w14:paraId="31F46D62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Guide d'utilisation V3</w:t>
      </w:r>
    </w:p>
    <w:p w14:paraId="09152990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Prérequis</w:t>
      </w:r>
    </w:p>
    <w:p w14:paraId="0BE82E71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Même que V2.</w:t>
      </w:r>
    </w:p>
    <w:p w14:paraId="654A5035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Différence d'utilisation vs V2</w:t>
      </w:r>
    </w:p>
    <w:p w14:paraId="6EF3F311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La V3 est conçue pour être </w:t>
      </w:r>
      <w:r>
        <w:rPr>
          <w:rFonts w:ascii="Calibri" w:hAnsi="Calibri"/>
          <w:b/>
          <w:color w:val="1A1A2E"/>
        </w:rPr>
        <w:t>appelée par la V4</w:t>
      </w:r>
      <w:r>
        <w:rPr>
          <w:rFonts w:ascii="Calibri" w:hAnsi="Calibri"/>
          <w:color w:val="2C2C2C"/>
        </w:rPr>
        <w:t xml:space="preserve">. Elle s'exécute via le nœud </w:t>
      </w:r>
      <w:r>
        <w:rPr>
          <w:rFonts w:ascii="Courier New" w:hAnsi="Courier New"/>
          <w:color w:val="C0392B"/>
          <w:sz w:val="20"/>
        </w:rPr>
        <w:t>Execute Workflow Trigger</w:t>
      </w:r>
      <w:r>
        <w:rPr>
          <w:rFonts w:ascii="Calibri" w:hAnsi="Calibri"/>
          <w:color w:val="2C2C2C"/>
        </w:rPr>
        <w:t xml:space="preserve"> (pas seulement le </w:t>
      </w:r>
      <w:r>
        <w:rPr>
          <w:rFonts w:ascii="Courier New" w:hAnsi="Courier New"/>
          <w:color w:val="C0392B"/>
          <w:sz w:val="20"/>
        </w:rPr>
        <w:t>Manual Trigger</w:t>
      </w:r>
      <w:r>
        <w:rPr>
          <w:rFonts w:ascii="Calibri" w:hAnsi="Calibri"/>
          <w:color w:val="2C2C2C"/>
        </w:rPr>
        <w:t>).</w:t>
      </w:r>
    </w:p>
    <w:p w14:paraId="1FC0D002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Procédure</w:t>
      </w:r>
    </w:p>
    <w:p w14:paraId="42F8A7BB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Importer </w:t>
      </w:r>
      <w:r>
        <w:rPr>
          <w:rFonts w:ascii="Courier New" w:hAnsi="Courier New"/>
          <w:color w:val="C0392B"/>
          <w:sz w:val="20"/>
        </w:rPr>
        <w:t>44_n8n_Prospection_Modele_Elton_V3_Approval_AutoSend.json</w:t>
      </w:r>
    </w:p>
    <w:p w14:paraId="584783F4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>Activer le workflow (bouton toggle en haut)</w:t>
      </w:r>
    </w:p>
    <w:p w14:paraId="4A9E0B5F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>Noter l'ID du workflow V3 (visible dans l'URL n8n)</w:t>
      </w:r>
    </w:p>
    <w:p w14:paraId="2C270C49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>Ce workflow est prêt à recevoir des prospects de la V4</w:t>
      </w:r>
    </w:p>
    <w:p w14:paraId="710F1F03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Test manuel V3</w:t>
      </w:r>
    </w:p>
    <w:p w14:paraId="6C25B5C4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>Ouvrir le workflow V3</w:t>
      </w:r>
    </w:p>
    <w:p w14:paraId="7DBB0DD2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Modifier </w:t>
      </w:r>
      <w:r>
        <w:rPr>
          <w:rFonts w:ascii="Courier New" w:hAnsi="Courier New"/>
          <w:color w:val="C0392B"/>
          <w:sz w:val="20"/>
        </w:rPr>
        <w:t>Set Target</w:t>
      </w:r>
      <w:r>
        <w:rPr>
          <w:rFonts w:ascii="Calibri" w:hAnsi="Calibri"/>
        </w:rPr>
        <w:t xml:space="preserve"> avec les données d'un prospect</w:t>
      </w:r>
    </w:p>
    <w:p w14:paraId="0C0E279B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Cliquer </w:t>
      </w:r>
      <w:r>
        <w:rPr>
          <w:rFonts w:ascii="Calibri" w:hAnsi="Calibri"/>
          <w:b/>
        </w:rPr>
        <w:t>Execute workflow</w:t>
      </w:r>
      <w:r>
        <w:rPr>
          <w:rFonts w:ascii="Calibri" w:hAnsi="Calibri"/>
        </w:rPr>
        <w:t xml:space="preserve"> depuis le </w:t>
      </w:r>
      <w:r>
        <w:rPr>
          <w:rFonts w:ascii="Courier New" w:hAnsi="Courier New"/>
          <w:color w:val="C0392B"/>
          <w:sz w:val="20"/>
        </w:rPr>
        <w:t>Manual Trigger</w:t>
      </w:r>
    </w:p>
    <w:p w14:paraId="16121198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>Suivre le flux jusqu'à réception de l'email d'approbation</w:t>
      </w:r>
    </w:p>
    <w:p w14:paraId="4E39B51B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>Approuver → vérifier la confirmation d'envoi</w:t>
      </w:r>
    </w:p>
    <w:p w14:paraId="16E5B230" w14:textId="77777777" w:rsidR="005B0343" w:rsidRDefault="005B0343">
      <w:pPr>
        <w:pBdr>
          <w:bottom w:val="single" w:sz="4" w:space="1" w:color="CCCCCC"/>
        </w:pBdr>
      </w:pPr>
    </w:p>
    <w:p w14:paraId="04F1AC10" w14:textId="77777777" w:rsidR="005B0343" w:rsidRDefault="00000000">
      <w:pPr>
        <w:pBdr>
          <w:bottom w:val="single" w:sz="6" w:space="1" w:color="E87E04"/>
        </w:pBdr>
        <w:spacing w:before="400" w:after="80"/>
      </w:pPr>
      <w:r>
        <w:rPr>
          <w:rFonts w:ascii="Calibri" w:hAnsi="Calibri"/>
          <w:b/>
          <w:color w:val="1A1A2E"/>
          <w:sz w:val="32"/>
        </w:rPr>
        <w:t>PARTIE 4 — V4 : Batch quotidien multi-prospects</w:t>
      </w:r>
    </w:p>
    <w:p w14:paraId="4662A65F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Ce que la V4 apporte</w:t>
      </w:r>
    </w:p>
    <w:p w14:paraId="51956C11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La V4 est le </w:t>
      </w:r>
      <w:r>
        <w:rPr>
          <w:rFonts w:ascii="Calibri" w:hAnsi="Calibri"/>
          <w:b/>
          <w:color w:val="1A1A2E"/>
        </w:rPr>
        <w:t>chef d'orchestre</w:t>
      </w:r>
      <w:r>
        <w:rPr>
          <w:rFonts w:ascii="Calibri" w:hAnsi="Calibri"/>
          <w:color w:val="2C2C2C"/>
        </w:rPr>
        <w:t xml:space="preserve"> du pipeline. Elle ne génère pas de packs — elle gère la file d'attente des prospects, applique les règles métier, et envoie les prospects éligibles vers la V3.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8"/>
        <w:gridCol w:w="3036"/>
        <w:gridCol w:w="3038"/>
      </w:tblGrid>
      <w:tr w:rsidR="005B0343" w14:paraId="29A2192F" w14:textId="77777777">
        <w:tc>
          <w:tcPr>
            <w:tcW w:w="3041" w:type="dxa"/>
            <w:shd w:val="clear" w:color="auto" w:fill="1A1A2E"/>
          </w:tcPr>
          <w:p w14:paraId="6C5FB50B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Fonctionnalité</w:t>
            </w:r>
          </w:p>
        </w:tc>
        <w:tc>
          <w:tcPr>
            <w:tcW w:w="3041" w:type="dxa"/>
            <w:shd w:val="clear" w:color="auto" w:fill="1A1A2E"/>
          </w:tcPr>
          <w:p w14:paraId="2EB16447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V3</w:t>
            </w:r>
          </w:p>
        </w:tc>
        <w:tc>
          <w:tcPr>
            <w:tcW w:w="3041" w:type="dxa"/>
            <w:shd w:val="clear" w:color="auto" w:fill="1A1A2E"/>
          </w:tcPr>
          <w:p w14:paraId="6660C63E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V4</w:t>
            </w:r>
          </w:p>
        </w:tc>
      </w:tr>
      <w:tr w:rsidR="005B0343" w14:paraId="60554633" w14:textId="77777777">
        <w:tc>
          <w:tcPr>
            <w:tcW w:w="3041" w:type="dxa"/>
          </w:tcPr>
          <w:p w14:paraId="4AACDFB0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Un prospect à la fois</w:t>
            </w:r>
          </w:p>
        </w:tc>
        <w:tc>
          <w:tcPr>
            <w:tcW w:w="3041" w:type="dxa"/>
          </w:tcPr>
          <w:p w14:paraId="650E44F1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Oui</w:t>
            </w:r>
          </w:p>
        </w:tc>
        <w:tc>
          <w:tcPr>
            <w:tcW w:w="3041" w:type="dxa"/>
          </w:tcPr>
          <w:p w14:paraId="6F77C1DE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 xml:space="preserve">Non — </w:t>
            </w:r>
            <w:r>
              <w:rPr>
                <w:rFonts w:ascii="Calibri" w:hAnsi="Calibri"/>
                <w:b/>
                <w:color w:val="1A1A2E"/>
                <w:sz w:val="20"/>
              </w:rPr>
              <w:t>file complète</w:t>
            </w:r>
          </w:p>
        </w:tc>
      </w:tr>
      <w:tr w:rsidR="005B0343" w14:paraId="2AD17884" w14:textId="77777777">
        <w:tc>
          <w:tcPr>
            <w:tcW w:w="3041" w:type="dxa"/>
            <w:shd w:val="clear" w:color="auto" w:fill="F9F9F9"/>
          </w:tcPr>
          <w:p w14:paraId="42730997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Déclenchement automatique</w:t>
            </w:r>
          </w:p>
        </w:tc>
        <w:tc>
          <w:tcPr>
            <w:tcW w:w="3041" w:type="dxa"/>
            <w:shd w:val="clear" w:color="auto" w:fill="F9F9F9"/>
          </w:tcPr>
          <w:p w14:paraId="5243B162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Non</w:t>
            </w:r>
          </w:p>
        </w:tc>
        <w:tc>
          <w:tcPr>
            <w:tcW w:w="3041" w:type="dxa"/>
            <w:shd w:val="clear" w:color="auto" w:fill="F9F9F9"/>
          </w:tcPr>
          <w:p w14:paraId="09F8DA0A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Oui — planifié quotidiennement</w:t>
            </w:r>
          </w:p>
        </w:tc>
      </w:tr>
      <w:tr w:rsidR="005B0343" w14:paraId="5B300320" w14:textId="77777777">
        <w:tc>
          <w:tcPr>
            <w:tcW w:w="3041" w:type="dxa"/>
          </w:tcPr>
          <w:p w14:paraId="41093359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Quotas journaliers</w:t>
            </w:r>
          </w:p>
        </w:tc>
        <w:tc>
          <w:tcPr>
            <w:tcW w:w="3041" w:type="dxa"/>
          </w:tcPr>
          <w:p w14:paraId="1903BD8B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Non</w:t>
            </w:r>
          </w:p>
        </w:tc>
        <w:tc>
          <w:tcPr>
            <w:tcW w:w="3041" w:type="dxa"/>
          </w:tcPr>
          <w:p w14:paraId="3F8B39AA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Oui — 3 à 5 par jour</w:t>
            </w:r>
          </w:p>
        </w:tc>
      </w:tr>
      <w:tr w:rsidR="005B0343" w14:paraId="39C378AC" w14:textId="77777777">
        <w:tc>
          <w:tcPr>
            <w:tcW w:w="3041" w:type="dxa"/>
            <w:shd w:val="clear" w:color="auto" w:fill="F9F9F9"/>
          </w:tcPr>
          <w:p w14:paraId="5BF4D0B1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Règles d'arrêt</w:t>
            </w:r>
          </w:p>
        </w:tc>
        <w:tc>
          <w:tcPr>
            <w:tcW w:w="3041" w:type="dxa"/>
            <w:shd w:val="clear" w:color="auto" w:fill="F9F9F9"/>
          </w:tcPr>
          <w:p w14:paraId="59F70FFC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Non</w:t>
            </w:r>
          </w:p>
        </w:tc>
        <w:tc>
          <w:tcPr>
            <w:tcW w:w="3041" w:type="dxa"/>
            <w:shd w:val="clear" w:color="auto" w:fill="F9F9F9"/>
          </w:tcPr>
          <w:p w14:paraId="762D0FC9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Oui — do_not_contact, paused, stop_reason</w:t>
            </w:r>
          </w:p>
        </w:tc>
      </w:tr>
      <w:tr w:rsidR="005B0343" w14:paraId="6034BD67" w14:textId="77777777">
        <w:tc>
          <w:tcPr>
            <w:tcW w:w="3041" w:type="dxa"/>
          </w:tcPr>
          <w:p w14:paraId="1AF9327B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Sources multiples</w:t>
            </w:r>
          </w:p>
        </w:tc>
        <w:tc>
          <w:tcPr>
            <w:tcW w:w="3041" w:type="dxa"/>
          </w:tcPr>
          <w:p w14:paraId="651263E9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Non</w:t>
            </w:r>
          </w:p>
        </w:tc>
        <w:tc>
          <w:tcPr>
            <w:tcW w:w="3041" w:type="dxa"/>
          </w:tcPr>
          <w:p w14:paraId="0D8FC993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Google Sheets, Airtable, Supabase</w:t>
            </w:r>
          </w:p>
        </w:tc>
      </w:tr>
      <w:tr w:rsidR="005B0343" w14:paraId="0E7CB937" w14:textId="77777777">
        <w:tc>
          <w:tcPr>
            <w:tcW w:w="3041" w:type="dxa"/>
            <w:shd w:val="clear" w:color="auto" w:fill="F9F9F9"/>
          </w:tcPr>
          <w:p w14:paraId="625310AD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Rapport de batch</w:t>
            </w:r>
          </w:p>
        </w:tc>
        <w:tc>
          <w:tcPr>
            <w:tcW w:w="3041" w:type="dxa"/>
            <w:shd w:val="clear" w:color="auto" w:fill="F9F9F9"/>
          </w:tcPr>
          <w:p w14:paraId="27B3AB25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Non</w:t>
            </w:r>
          </w:p>
        </w:tc>
        <w:tc>
          <w:tcPr>
            <w:tcW w:w="3041" w:type="dxa"/>
            <w:shd w:val="clear" w:color="auto" w:fill="F9F9F9"/>
          </w:tcPr>
          <w:p w14:paraId="32B96C4E" w14:textId="77777777" w:rsidR="005B0343" w:rsidRDefault="00000000">
            <w:r>
              <w:rPr>
                <w:rFonts w:ascii="Calibri" w:hAnsi="Calibri"/>
                <w:b/>
                <w:color w:val="1A1A2E"/>
                <w:sz w:val="20"/>
              </w:rPr>
              <w:t>Oui</w:t>
            </w:r>
          </w:p>
        </w:tc>
      </w:tr>
    </w:tbl>
    <w:p w14:paraId="61DA3464" w14:textId="77777777" w:rsidR="005B0343" w:rsidRDefault="005B0343">
      <w:pPr>
        <w:spacing w:after="120"/>
      </w:pPr>
    </w:p>
    <w:p w14:paraId="0B18D020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Architecture V4</w:t>
      </w:r>
    </w:p>
    <w:p w14:paraId="51F50F66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>Daily Schedule Trigger (ou Manual Trigger)</w:t>
      </w:r>
    </w:p>
    <w:p w14:paraId="415CA99A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Set Batch Config (paramètres du batch)</w:t>
      </w:r>
    </w:p>
    <w:p w14:paraId="1AE341DA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Fetch Today Outreach Count (compte les envois du jour)</w:t>
      </w:r>
    </w:p>
    <w:p w14:paraId="1B6217EC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Create Batch Run (crée un enregistrement du run)</w:t>
      </w:r>
    </w:p>
    <w:p w14:paraId="1D3C7667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If Supabase Source ?</w:t>
      </w:r>
    </w:p>
    <w:p w14:paraId="339713B4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→ Fetch Prospects From Supabase → Normalize Supabase Prospects</w:t>
      </w:r>
    </w:p>
    <w:p w14:paraId="45DBA267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If Airtable Source ?</w:t>
      </w:r>
    </w:p>
    <w:p w14:paraId="15F2243C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→ Fetch Prospects From Airtable → Normalize Airtable Prospects</w:t>
      </w:r>
    </w:p>
    <w:p w14:paraId="0564CAF9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Fetch Prospects From Google Sheets CSV → Normalize Google Sheets Prospects</w:t>
      </w:r>
    </w:p>
    <w:p w14:paraId="06CB5647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Build Eligible Prospect Queue (applique les règles d'arrêt)</w:t>
      </w:r>
    </w:p>
    <w:p w14:paraId="41B98E86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For each prospect :</w:t>
      </w:r>
    </w:p>
    <w:p w14:paraId="069D9562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→ If Prospect Eligible ?</w:t>
      </w:r>
    </w:p>
    <w:p w14:paraId="667876E3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    → OUI → Execute Prospect Workflow V3 → Mark Dispatched To V3</w:t>
      </w:r>
    </w:p>
    <w:p w14:paraId="3675DBB3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    → NON → Mark Skipped In Batch</w:t>
      </w:r>
    </w:p>
    <w:p w14:paraId="627A37D2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Merge Batch Outcomes</w:t>
      </w:r>
    </w:p>
    <w:p w14:paraId="05BC4C4F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Build Batch Summary</w:t>
      </w:r>
    </w:p>
    <w:p w14:paraId="23C81E16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Log Processed Batch Item / Log Skipped Batch Item</w:t>
      </w:r>
    </w:p>
    <w:p w14:paraId="4F36EBFC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→ Finalize Batch Run</w:t>
      </w:r>
    </w:p>
    <w:p w14:paraId="09081305" w14:textId="77777777" w:rsidR="005B0343" w:rsidRDefault="005B0343">
      <w:pPr>
        <w:spacing w:after="80"/>
      </w:pPr>
    </w:p>
    <w:p w14:paraId="15CE4C95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Paramètres batch recommandés</w:t>
      </w:r>
    </w:p>
    <w:p w14:paraId="265CB896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Dans le nœud </w:t>
      </w:r>
      <w:r>
        <w:rPr>
          <w:rFonts w:ascii="Courier New" w:hAnsi="Courier New"/>
          <w:color w:val="C0392B"/>
          <w:sz w:val="20"/>
        </w:rPr>
        <w:t>Set Batch Config</w:t>
      </w:r>
      <w:r>
        <w:rPr>
          <w:rFonts w:ascii="Calibri" w:hAnsi="Calibri"/>
          <w:color w:val="2C2C2C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36"/>
        <w:gridCol w:w="3035"/>
      </w:tblGrid>
      <w:tr w:rsidR="005B0343" w14:paraId="4094CC8F" w14:textId="77777777">
        <w:tc>
          <w:tcPr>
            <w:tcW w:w="3041" w:type="dxa"/>
            <w:shd w:val="clear" w:color="auto" w:fill="1A1A2E"/>
          </w:tcPr>
          <w:p w14:paraId="4E221EC5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Paramètre</w:t>
            </w:r>
          </w:p>
        </w:tc>
        <w:tc>
          <w:tcPr>
            <w:tcW w:w="3041" w:type="dxa"/>
            <w:shd w:val="clear" w:color="auto" w:fill="1A1A2E"/>
          </w:tcPr>
          <w:p w14:paraId="0E0341F6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Valeur recommandée</w:t>
            </w:r>
          </w:p>
        </w:tc>
        <w:tc>
          <w:tcPr>
            <w:tcW w:w="3041" w:type="dxa"/>
            <w:shd w:val="clear" w:color="auto" w:fill="1A1A2E"/>
          </w:tcPr>
          <w:p w14:paraId="2E063E67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Description</w:t>
            </w:r>
          </w:p>
        </w:tc>
      </w:tr>
      <w:tr w:rsidR="005B0343" w14:paraId="03D6C84D" w14:textId="77777777">
        <w:tc>
          <w:tcPr>
            <w:tcW w:w="3041" w:type="dxa"/>
          </w:tcPr>
          <w:p w14:paraId="27786D4E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source_backend</w:t>
            </w:r>
          </w:p>
        </w:tc>
        <w:tc>
          <w:tcPr>
            <w:tcW w:w="3041" w:type="dxa"/>
          </w:tcPr>
          <w:p w14:paraId="52061DA1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supabase</w:t>
            </w:r>
          </w:p>
        </w:tc>
        <w:tc>
          <w:tcPr>
            <w:tcW w:w="3041" w:type="dxa"/>
          </w:tcPr>
          <w:p w14:paraId="4FAB9097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Source de prospects</w:t>
            </w:r>
          </w:p>
        </w:tc>
      </w:tr>
      <w:tr w:rsidR="005B0343" w14:paraId="39627C36" w14:textId="77777777">
        <w:tc>
          <w:tcPr>
            <w:tcW w:w="3041" w:type="dxa"/>
            <w:shd w:val="clear" w:color="auto" w:fill="F9F9F9"/>
          </w:tcPr>
          <w:p w14:paraId="61CEE479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batch_fetch_limit</w:t>
            </w:r>
          </w:p>
        </w:tc>
        <w:tc>
          <w:tcPr>
            <w:tcW w:w="3041" w:type="dxa"/>
            <w:shd w:val="clear" w:color="auto" w:fill="F9F9F9"/>
          </w:tcPr>
          <w:p w14:paraId="591FE021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25</w:t>
            </w:r>
          </w:p>
        </w:tc>
        <w:tc>
          <w:tcPr>
            <w:tcW w:w="3041" w:type="dxa"/>
            <w:shd w:val="clear" w:color="auto" w:fill="F9F9F9"/>
          </w:tcPr>
          <w:p w14:paraId="36E63A97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Prospects à charger par run</w:t>
            </w:r>
          </w:p>
        </w:tc>
      </w:tr>
      <w:tr w:rsidR="005B0343" w14:paraId="0D6BB4D8" w14:textId="77777777">
        <w:tc>
          <w:tcPr>
            <w:tcW w:w="3041" w:type="dxa"/>
          </w:tcPr>
          <w:p w14:paraId="1243F6CA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daily_send_limit</w:t>
            </w:r>
          </w:p>
        </w:tc>
        <w:tc>
          <w:tcPr>
            <w:tcW w:w="3041" w:type="dxa"/>
          </w:tcPr>
          <w:p w14:paraId="545F6EAF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5</w:t>
            </w:r>
          </w:p>
        </w:tc>
        <w:tc>
          <w:tcPr>
            <w:tcW w:w="3041" w:type="dxa"/>
          </w:tcPr>
          <w:p w14:paraId="6C261E77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Maximum d'envois par jour</w:t>
            </w:r>
          </w:p>
        </w:tc>
      </w:tr>
      <w:tr w:rsidR="005B0343" w14:paraId="3714450D" w14:textId="77777777">
        <w:tc>
          <w:tcPr>
            <w:tcW w:w="3041" w:type="dxa"/>
            <w:shd w:val="clear" w:color="auto" w:fill="F9F9F9"/>
          </w:tcPr>
          <w:p w14:paraId="78056E73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max_attempts_per_prospect</w:t>
            </w:r>
          </w:p>
        </w:tc>
        <w:tc>
          <w:tcPr>
            <w:tcW w:w="3041" w:type="dxa"/>
            <w:shd w:val="clear" w:color="auto" w:fill="F9F9F9"/>
          </w:tcPr>
          <w:p w14:paraId="036B2386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3</w:t>
            </w:r>
          </w:p>
        </w:tc>
        <w:tc>
          <w:tcPr>
            <w:tcW w:w="3041" w:type="dxa"/>
            <w:shd w:val="clear" w:color="auto" w:fill="F9F9F9"/>
          </w:tcPr>
          <w:p w14:paraId="403E74D1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Tentatives max avant arrêt</w:t>
            </w:r>
          </w:p>
        </w:tc>
      </w:tr>
      <w:tr w:rsidR="005B0343" w14:paraId="4AA8FBF2" w14:textId="77777777">
        <w:tc>
          <w:tcPr>
            <w:tcW w:w="3041" w:type="dxa"/>
          </w:tcPr>
          <w:p w14:paraId="1FA9D65F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min_confidence_score</w:t>
            </w:r>
          </w:p>
        </w:tc>
        <w:tc>
          <w:tcPr>
            <w:tcW w:w="3041" w:type="dxa"/>
          </w:tcPr>
          <w:p w14:paraId="5191BB66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0.45</w:t>
            </w:r>
          </w:p>
        </w:tc>
        <w:tc>
          <w:tcPr>
            <w:tcW w:w="3041" w:type="dxa"/>
          </w:tcPr>
          <w:p w14:paraId="5ECF1D6E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Score IA minimum pour envoi</w:t>
            </w:r>
          </w:p>
        </w:tc>
      </w:tr>
    </w:tbl>
    <w:p w14:paraId="4FD65DD6" w14:textId="77777777" w:rsidR="005B0343" w:rsidRDefault="005B0343">
      <w:pPr>
        <w:spacing w:after="120"/>
      </w:pPr>
    </w:p>
    <w:p w14:paraId="6DDABC4C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Règles d'arrêt automatiques</w:t>
      </w:r>
    </w:p>
    <w:p w14:paraId="7B769C7A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Un prospect est </w:t>
      </w:r>
      <w:r>
        <w:rPr>
          <w:rFonts w:ascii="Calibri" w:hAnsi="Calibri"/>
          <w:b/>
          <w:color w:val="1A1A2E"/>
        </w:rPr>
        <w:t>bloqué</w:t>
      </w:r>
      <w:r>
        <w:rPr>
          <w:rFonts w:ascii="Calibri" w:hAnsi="Calibri"/>
          <w:color w:val="2C2C2C"/>
        </w:rPr>
        <w:t xml:space="preserve"> si :</w:t>
      </w:r>
    </w:p>
    <w:p w14:paraId="105DF1AE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do_not_contact = true</w:t>
      </w:r>
      <w:r>
        <w:rPr>
          <w:rFonts w:ascii="Calibri" w:hAnsi="Calibri"/>
        </w:rPr>
        <w:t xml:space="preserve"> — opposition exprimée</w:t>
      </w:r>
    </w:p>
    <w:p w14:paraId="7F0D4F56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paused = true</w:t>
      </w:r>
      <w:r>
        <w:rPr>
          <w:rFonts w:ascii="Calibri" w:hAnsi="Calibri"/>
        </w:rPr>
        <w:t xml:space="preserve"> — mis en pause manuellement</w:t>
      </w:r>
    </w:p>
    <w:p w14:paraId="3CA9A01C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stop_reason</w:t>
      </w:r>
      <w:r>
        <w:rPr>
          <w:rFonts w:ascii="Calibri" w:hAnsi="Calibri"/>
        </w:rPr>
        <w:t xml:space="preserve"> est renseigné — règle d'arrêt déjà déclenchée</w:t>
      </w:r>
    </w:p>
    <w:p w14:paraId="52703467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outreach_attempt_count &gt;= 3</w:t>
      </w:r>
      <w:r>
        <w:rPr>
          <w:rFonts w:ascii="Calibri" w:hAnsi="Calibri"/>
        </w:rPr>
        <w:t xml:space="preserve"> — trop de tentatives</w:t>
      </w:r>
    </w:p>
    <w:p w14:paraId="35973247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last_response_status = interested / meeting_booked / not_interested / unsubscribed</w:t>
      </w:r>
    </w:p>
    <w:p w14:paraId="0470A5FD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Quota journalier atteint</w:t>
      </w:r>
    </w:p>
    <w:p w14:paraId="709C865E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Sources de prospects supportées</w:t>
      </w:r>
    </w:p>
    <w:p w14:paraId="3FDBAB7A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Google Sheets (démarrage rapide)</w:t>
      </w:r>
    </w:p>
    <w:p w14:paraId="694E2D60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Copier le template </w:t>
      </w:r>
      <w:r>
        <w:rPr>
          <w:rFonts w:ascii="Courier New" w:hAnsi="Courier New"/>
          <w:color w:val="C0392B"/>
          <w:sz w:val="20"/>
        </w:rPr>
        <w:t>52_Template_CSV_Google_Sheets_100_Prospects.csv</w:t>
      </w:r>
      <w:r>
        <w:rPr>
          <w:rFonts w:ascii="Calibri" w:hAnsi="Calibri"/>
        </w:rPr>
        <w:t xml:space="preserve"> dans Google Sheets</w:t>
      </w:r>
    </w:p>
    <w:p w14:paraId="772FB5B5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Remplir les colonnes : </w:t>
      </w:r>
      <w:r>
        <w:rPr>
          <w:rFonts w:ascii="Courier New" w:hAnsi="Courier New"/>
          <w:color w:val="C0392B"/>
          <w:sz w:val="20"/>
        </w:rPr>
        <w:t>organization_name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C0392B"/>
          <w:sz w:val="20"/>
        </w:rPr>
        <w:t>website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C0392B"/>
          <w:sz w:val="20"/>
        </w:rPr>
        <w:t>target_email</w:t>
      </w:r>
    </w:p>
    <w:p w14:paraId="7C5AC7ED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>Publier le Sheet en CSV public</w:t>
      </w:r>
    </w:p>
    <w:p w14:paraId="41B4D3F2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Coller l'URL CSV dans </w:t>
      </w:r>
      <w:r>
        <w:rPr>
          <w:rFonts w:ascii="Courier New" w:hAnsi="Courier New"/>
          <w:color w:val="C0392B"/>
          <w:sz w:val="20"/>
        </w:rPr>
        <w:t>Set Batch Config</w:t>
      </w:r>
      <w:r>
        <w:rPr>
          <w:rFonts w:ascii="Calibri" w:hAnsi="Calibri"/>
        </w:rPr>
        <w:t xml:space="preserve"> → </w:t>
      </w:r>
      <w:r>
        <w:rPr>
          <w:rFonts w:ascii="Courier New" w:hAnsi="Courier New"/>
          <w:color w:val="C0392B"/>
          <w:sz w:val="20"/>
        </w:rPr>
        <w:t>google_sheets_csv_url</w:t>
      </w:r>
    </w:p>
    <w:p w14:paraId="5133C6B3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Airtable</w:t>
      </w:r>
    </w:p>
    <w:p w14:paraId="4A5AAE6C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>Créer une base avec les colonnes du format canonique prospect</w:t>
      </w:r>
    </w:p>
    <w:p w14:paraId="13E24692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Créer une vue </w:t>
      </w:r>
      <w:r>
        <w:rPr>
          <w:rFonts w:ascii="Courier New" w:hAnsi="Courier New"/>
          <w:color w:val="C0392B"/>
          <w:sz w:val="20"/>
        </w:rPr>
        <w:t>ready</w:t>
      </w:r>
      <w:r>
        <w:rPr>
          <w:rFonts w:ascii="Calibri" w:hAnsi="Calibri"/>
        </w:rPr>
        <w:t xml:space="preserve"> filtrée sur </w:t>
      </w:r>
      <w:r>
        <w:rPr>
          <w:rFonts w:ascii="Courier New" w:hAnsi="Courier New"/>
          <w:color w:val="C0392B"/>
          <w:sz w:val="20"/>
        </w:rPr>
        <w:t>paused = false</w:t>
      </w:r>
      <w:r>
        <w:rPr>
          <w:rFonts w:ascii="Calibri" w:hAnsi="Calibri"/>
        </w:rPr>
        <w:t xml:space="preserve"> et </w:t>
      </w:r>
      <w:r>
        <w:rPr>
          <w:rFonts w:ascii="Courier New" w:hAnsi="Courier New"/>
          <w:color w:val="C0392B"/>
          <w:sz w:val="20"/>
        </w:rPr>
        <w:t>do_not_contact = false</w:t>
      </w:r>
    </w:p>
    <w:p w14:paraId="6ABA00A4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Renseigner </w:t>
      </w:r>
      <w:r>
        <w:rPr>
          <w:rFonts w:ascii="Courier New" w:hAnsi="Courier New"/>
          <w:color w:val="C0392B"/>
          <w:sz w:val="20"/>
        </w:rPr>
        <w:t>airtable_api_key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C0392B"/>
          <w:sz w:val="20"/>
        </w:rPr>
        <w:t>airtable_base_id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C0392B"/>
          <w:sz w:val="20"/>
        </w:rPr>
        <w:t>airtable_table_name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C0392B"/>
          <w:sz w:val="20"/>
        </w:rPr>
        <w:t>airtable_ready_view</w:t>
      </w:r>
    </w:p>
    <w:p w14:paraId="7CB776DB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Supabase (recommandé pour la production)</w:t>
      </w:r>
    </w:p>
    <w:p w14:paraId="2557A340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Appliquer la migration SQL </w:t>
      </w:r>
      <w:r>
        <w:rPr>
          <w:rFonts w:ascii="Courier New" w:hAnsi="Courier New"/>
          <w:color w:val="C0392B"/>
          <w:sz w:val="20"/>
        </w:rPr>
        <w:t>20260522160000_create_ai_multi_prospecting_pipeline.sql</w:t>
      </w:r>
    </w:p>
    <w:p w14:paraId="2E1E931C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Insérer les prospects dans la table </w:t>
      </w:r>
      <w:r>
        <w:rPr>
          <w:rFonts w:ascii="Courier New" w:hAnsi="Courier New"/>
          <w:color w:val="C0392B"/>
          <w:sz w:val="20"/>
        </w:rPr>
        <w:t>prospect_targets</w:t>
      </w:r>
    </w:p>
    <w:p w14:paraId="65FE703D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Renseigner </w:t>
      </w:r>
      <w:r>
        <w:rPr>
          <w:rFonts w:ascii="Courier New" w:hAnsi="Courier New"/>
          <w:color w:val="C0392B"/>
          <w:sz w:val="20"/>
        </w:rPr>
        <w:t>supabase_url</w:t>
      </w:r>
      <w:r>
        <w:rPr>
          <w:rFonts w:ascii="Calibri" w:hAnsi="Calibri"/>
        </w:rPr>
        <w:t xml:space="preserve"> et </w:t>
      </w:r>
      <w:r>
        <w:rPr>
          <w:rFonts w:ascii="Courier New" w:hAnsi="Courier New"/>
          <w:color w:val="C0392B"/>
          <w:sz w:val="20"/>
        </w:rPr>
        <w:t>supabase_service_role_key</w:t>
      </w:r>
    </w:p>
    <w:p w14:paraId="6D24B08B" w14:textId="77777777" w:rsidR="005B0343" w:rsidRDefault="005B0343">
      <w:pPr>
        <w:pBdr>
          <w:bottom w:val="single" w:sz="4" w:space="1" w:color="CCCCCC"/>
        </w:pBdr>
      </w:pPr>
    </w:p>
    <w:p w14:paraId="3395C347" w14:textId="77777777" w:rsidR="005B0343" w:rsidRDefault="00000000">
      <w:pPr>
        <w:spacing w:before="200" w:after="80"/>
      </w:pPr>
      <w:r>
        <w:rPr>
          <w:rFonts w:ascii="Calibri" w:hAnsi="Calibri"/>
          <w:b/>
          <w:color w:val="1A1A2E"/>
          <w:sz w:val="26"/>
        </w:rPr>
        <w:t>Guide d'utilisation V4</w:t>
      </w:r>
    </w:p>
    <w:p w14:paraId="13713B29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Prérequis</w:t>
      </w:r>
    </w:p>
    <w:p w14:paraId="79F7487E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V3 importée, activée, et son ID noté</w:t>
      </w:r>
    </w:p>
    <w:p w14:paraId="1EA4F73F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Source de prospects configurée (Google Sheets, Airtable ou Supabase)</w:t>
      </w:r>
    </w:p>
    <w:p w14:paraId="39ADEDE6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>Tables Supabase créées pour le journal des runs</w:t>
      </w:r>
    </w:p>
    <w:p w14:paraId="608C6B5E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Configuration</w:t>
      </w:r>
    </w:p>
    <w:p w14:paraId="05FFD4B0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Importer </w:t>
      </w:r>
      <w:r>
        <w:rPr>
          <w:rFonts w:ascii="Courier New" w:hAnsi="Courier New"/>
          <w:color w:val="C0392B"/>
          <w:sz w:val="20"/>
        </w:rPr>
        <w:t>47_n8n_Prospection_Multi_Prospect_V4_Batch.json</w:t>
      </w:r>
    </w:p>
    <w:p w14:paraId="428F07C1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Dans </w:t>
      </w:r>
      <w:r>
        <w:rPr>
          <w:rFonts w:ascii="Courier New" w:hAnsi="Courier New"/>
          <w:color w:val="C0392B"/>
          <w:sz w:val="20"/>
        </w:rPr>
        <w:t>Set Batch Config</w:t>
      </w:r>
      <w:r>
        <w:rPr>
          <w:rFonts w:ascii="Calibri" w:hAnsi="Calibri"/>
        </w:rPr>
        <w:t xml:space="preserve"> → renseigner :</w:t>
      </w:r>
    </w:p>
    <w:p w14:paraId="04294A36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source_backend</w:t>
      </w:r>
      <w:r>
        <w:rPr>
          <w:rFonts w:ascii="Calibri" w:hAnsi="Calibri"/>
        </w:rPr>
        <w:t xml:space="preserve"> : </w:t>
      </w:r>
      <w:r>
        <w:rPr>
          <w:rFonts w:ascii="Courier New" w:hAnsi="Courier New"/>
          <w:color w:val="C0392B"/>
          <w:sz w:val="20"/>
        </w:rPr>
        <w:t>google_sheets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C0392B"/>
          <w:sz w:val="20"/>
        </w:rPr>
        <w:t>airtable</w:t>
      </w:r>
      <w:r>
        <w:rPr>
          <w:rFonts w:ascii="Calibri" w:hAnsi="Calibri"/>
        </w:rPr>
        <w:t xml:space="preserve"> ou </w:t>
      </w:r>
      <w:r>
        <w:rPr>
          <w:rFonts w:ascii="Courier New" w:hAnsi="Courier New"/>
          <w:color w:val="C0392B"/>
          <w:sz w:val="20"/>
        </w:rPr>
        <w:t>supabase</w:t>
      </w:r>
    </w:p>
    <w:p w14:paraId="3F10BDF4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daily_send_limit</w:t>
      </w:r>
      <w:r>
        <w:rPr>
          <w:rFonts w:ascii="Calibri" w:hAnsi="Calibri"/>
        </w:rPr>
        <w:t xml:space="preserve"> : </w:t>
      </w:r>
      <w:r>
        <w:rPr>
          <w:rFonts w:ascii="Courier New" w:hAnsi="Courier New"/>
          <w:color w:val="C0392B"/>
          <w:sz w:val="20"/>
        </w:rPr>
        <w:t>5</w:t>
      </w:r>
      <w:r>
        <w:rPr>
          <w:rFonts w:ascii="Calibri" w:hAnsi="Calibri"/>
        </w:rPr>
        <w:t xml:space="preserve"> (recommandé)</w:t>
      </w:r>
    </w:p>
    <w:p w14:paraId="0054064C" w14:textId="77777777" w:rsidR="005B0343" w:rsidRDefault="00000000">
      <w:pPr>
        <w:pStyle w:val="ListBullet"/>
        <w:spacing w:after="40"/>
        <w:ind w:left="720"/>
      </w:pPr>
      <w:r>
        <w:rPr>
          <w:rFonts w:ascii="Courier New" w:hAnsi="Courier New"/>
          <w:color w:val="C0392B"/>
          <w:sz w:val="20"/>
        </w:rPr>
        <w:t>N8N_CHILD_WORKFLOW_ID_V3</w:t>
      </w:r>
      <w:r>
        <w:rPr>
          <w:rFonts w:ascii="Calibri" w:hAnsi="Calibri"/>
        </w:rPr>
        <w:t xml:space="preserve"> : ID du workflow V3</w:t>
      </w:r>
    </w:p>
    <w:p w14:paraId="32823E1E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 xml:space="preserve">Configurer le </w:t>
      </w:r>
      <w:r>
        <w:rPr>
          <w:rFonts w:ascii="Courier New" w:hAnsi="Courier New"/>
          <w:color w:val="C0392B"/>
          <w:sz w:val="20"/>
        </w:rPr>
        <w:t>Daily Schedule Trigger</w:t>
      </w:r>
      <w:r>
        <w:rPr>
          <w:rFonts w:ascii="Calibri" w:hAnsi="Calibri"/>
        </w:rPr>
        <w:t xml:space="preserve"> : heure d'exécution quotidienne (ex : 08h00)</w:t>
      </w:r>
    </w:p>
    <w:p w14:paraId="4995DAB1" w14:textId="77777777" w:rsidR="005B0343" w:rsidRDefault="00000000">
      <w:pPr>
        <w:pStyle w:val="ListNumber"/>
        <w:spacing w:after="40"/>
      </w:pPr>
      <w:r>
        <w:rPr>
          <w:rFonts w:ascii="Calibri" w:hAnsi="Calibri"/>
        </w:rPr>
        <w:t>Activer le workflow</w:t>
      </w:r>
    </w:p>
    <w:p w14:paraId="14F39FB4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Remplir la liste de prospects</w:t>
      </w:r>
    </w:p>
    <w:p w14:paraId="61428957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 xml:space="preserve">Utiliser le template </w:t>
      </w:r>
      <w:r>
        <w:rPr>
          <w:rFonts w:ascii="Courier New" w:hAnsi="Courier New"/>
          <w:color w:val="C0392B"/>
          <w:sz w:val="20"/>
        </w:rPr>
        <w:t>53_Template_CSV_Google_Sheets_Prospects.md</w:t>
      </w:r>
      <w:r>
        <w:rPr>
          <w:rFonts w:ascii="Calibri" w:hAnsi="Calibri"/>
          <w:color w:val="2C2C2C"/>
        </w:rPr>
        <w:t xml:space="preserve"> pour créer la liste. Colonnes minimales à remplir :</w:t>
      </w:r>
    </w:p>
    <w:p w14:paraId="509BBD59" w14:textId="77777777" w:rsidR="005B0343" w:rsidRDefault="00000000">
      <w:pPr>
        <w:pStyle w:val="ListBullet"/>
        <w:spacing w:after="40"/>
      </w:pPr>
      <w:r>
        <w:rPr>
          <w:rFonts w:ascii="Courier New" w:hAnsi="Courier New"/>
          <w:color w:val="C0392B"/>
          <w:sz w:val="20"/>
        </w:rPr>
        <w:t>prospect_id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C0392B"/>
          <w:sz w:val="20"/>
        </w:rPr>
        <w:t>organization_name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C0392B"/>
          <w:sz w:val="20"/>
        </w:rPr>
        <w:t>website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C0392B"/>
          <w:sz w:val="20"/>
        </w:rPr>
        <w:t>target_email</w:t>
      </w:r>
    </w:p>
    <w:p w14:paraId="01BBEB02" w14:textId="77777777" w:rsidR="005B0343" w:rsidRDefault="00000000">
      <w:pPr>
        <w:spacing w:before="200" w:after="80"/>
      </w:pPr>
      <w:r>
        <w:rPr>
          <w:rFonts w:ascii="Calibri" w:hAnsi="Calibri"/>
          <w:b/>
          <w:color w:val="555555"/>
        </w:rPr>
        <w:t>Suivi des résultats</w:t>
      </w:r>
    </w:p>
    <w:p w14:paraId="21335FE1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 xml:space="preserve">Dans Supabase → table </w:t>
      </w:r>
      <w:r>
        <w:rPr>
          <w:rFonts w:ascii="Courier New" w:hAnsi="Courier New"/>
          <w:color w:val="C0392B"/>
          <w:sz w:val="20"/>
        </w:rPr>
        <w:t>ai_prospecting_packs</w:t>
      </w:r>
      <w:r>
        <w:rPr>
          <w:rFonts w:ascii="Calibri" w:hAnsi="Calibri"/>
        </w:rPr>
        <w:t xml:space="preserve"> : tous les packs générés</w:t>
      </w:r>
    </w:p>
    <w:p w14:paraId="4AF1FE67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 xml:space="preserve">Dans Supabase → table </w:t>
      </w:r>
      <w:r>
        <w:rPr>
          <w:rFonts w:ascii="Courier New" w:hAnsi="Courier New"/>
          <w:color w:val="C0392B"/>
          <w:sz w:val="20"/>
        </w:rPr>
        <w:t>outreach_attempts</w:t>
      </w:r>
      <w:r>
        <w:rPr>
          <w:rFonts w:ascii="Calibri" w:hAnsi="Calibri"/>
        </w:rPr>
        <w:t xml:space="preserve"> : tous les envois journalisés</w:t>
      </w:r>
    </w:p>
    <w:p w14:paraId="40B980B9" w14:textId="77777777" w:rsidR="005B0343" w:rsidRDefault="00000000">
      <w:pPr>
        <w:pStyle w:val="ListBullet"/>
        <w:spacing w:after="40"/>
      </w:pPr>
      <w:r>
        <w:rPr>
          <w:rFonts w:ascii="Calibri" w:hAnsi="Calibri"/>
        </w:rPr>
        <w:t xml:space="preserve">Dans n8n → onglet </w:t>
      </w:r>
      <w:r>
        <w:rPr>
          <w:rFonts w:ascii="Calibri" w:hAnsi="Calibri"/>
          <w:b/>
        </w:rPr>
        <w:t>Executions</w:t>
      </w:r>
      <w:r>
        <w:rPr>
          <w:rFonts w:ascii="Calibri" w:hAnsi="Calibri"/>
        </w:rPr>
        <w:t xml:space="preserve"> : historique de chaque run V4</w:t>
      </w:r>
    </w:p>
    <w:p w14:paraId="278C01BD" w14:textId="77777777" w:rsidR="005B0343" w:rsidRDefault="005B0343">
      <w:pPr>
        <w:pBdr>
          <w:bottom w:val="single" w:sz="4" w:space="1" w:color="CCCCCC"/>
        </w:pBdr>
      </w:pPr>
    </w:p>
    <w:p w14:paraId="412B82E8" w14:textId="77777777" w:rsidR="005B0343" w:rsidRDefault="00000000">
      <w:pPr>
        <w:pBdr>
          <w:bottom w:val="single" w:sz="6" w:space="1" w:color="E87E04"/>
        </w:pBdr>
        <w:spacing w:before="400" w:after="80"/>
      </w:pPr>
      <w:r>
        <w:rPr>
          <w:rFonts w:ascii="Calibri" w:hAnsi="Calibri"/>
          <w:b/>
          <w:color w:val="1A1A2E"/>
          <w:sz w:val="32"/>
        </w:rPr>
        <w:t>Récapitulatif des fichiers du projet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2"/>
        <w:gridCol w:w="2090"/>
      </w:tblGrid>
      <w:tr w:rsidR="005B0343" w14:paraId="51B75942" w14:textId="77777777">
        <w:tc>
          <w:tcPr>
            <w:tcW w:w="4561" w:type="dxa"/>
            <w:shd w:val="clear" w:color="auto" w:fill="1A1A2E"/>
          </w:tcPr>
          <w:p w14:paraId="3D49D08E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Fichier</w:t>
            </w:r>
          </w:p>
        </w:tc>
        <w:tc>
          <w:tcPr>
            <w:tcW w:w="4561" w:type="dxa"/>
            <w:shd w:val="clear" w:color="auto" w:fill="1A1A2E"/>
          </w:tcPr>
          <w:p w14:paraId="53D29BFF" w14:textId="77777777" w:rsidR="005B0343" w:rsidRDefault="00000000">
            <w:r>
              <w:rPr>
                <w:rFonts w:ascii="Calibri" w:hAnsi="Calibri"/>
                <w:color w:val="FFFFFF"/>
                <w:sz w:val="20"/>
              </w:rPr>
              <w:t>Description</w:t>
            </w:r>
          </w:p>
        </w:tc>
      </w:tr>
      <w:tr w:rsidR="005B0343" w14:paraId="09296829" w14:textId="77777777">
        <w:tc>
          <w:tcPr>
            <w:tcW w:w="4561" w:type="dxa"/>
          </w:tcPr>
          <w:p w14:paraId="01E807BB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42_n8n_Prospection_Modele_Elton_V1_corrected.json</w:t>
            </w:r>
          </w:p>
        </w:tc>
        <w:tc>
          <w:tcPr>
            <w:tcW w:w="4561" w:type="dxa"/>
          </w:tcPr>
          <w:p w14:paraId="3D7D40BD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Workflow V1 opérationnel</w:t>
            </w:r>
          </w:p>
        </w:tc>
      </w:tr>
      <w:tr w:rsidR="005B0343" w14:paraId="4D672AC6" w14:textId="77777777">
        <w:tc>
          <w:tcPr>
            <w:tcW w:w="4561" w:type="dxa"/>
            <w:shd w:val="clear" w:color="auto" w:fill="F9F9F9"/>
          </w:tcPr>
          <w:p w14:paraId="148D9AAE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43_n8n_Prospection_Modele_Elton_V2_Supabase_Approval_Email.json</w:t>
            </w:r>
          </w:p>
        </w:tc>
        <w:tc>
          <w:tcPr>
            <w:tcW w:w="4561" w:type="dxa"/>
            <w:shd w:val="clear" w:color="auto" w:fill="F9F9F9"/>
          </w:tcPr>
          <w:p w14:paraId="1773B804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Workflow V2</w:t>
            </w:r>
          </w:p>
        </w:tc>
      </w:tr>
      <w:tr w:rsidR="005B0343" w14:paraId="07755411" w14:textId="77777777">
        <w:tc>
          <w:tcPr>
            <w:tcW w:w="4561" w:type="dxa"/>
          </w:tcPr>
          <w:p w14:paraId="09E0C60D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44_n8n_Prospection_Modele_Elton_V3_Approval_AutoSend.json</w:t>
            </w:r>
          </w:p>
        </w:tc>
        <w:tc>
          <w:tcPr>
            <w:tcW w:w="4561" w:type="dxa"/>
          </w:tcPr>
          <w:p w14:paraId="0F1A8537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Workflow V3</w:t>
            </w:r>
          </w:p>
        </w:tc>
      </w:tr>
      <w:tr w:rsidR="005B0343" w14:paraId="60DF8F89" w14:textId="77777777">
        <w:tc>
          <w:tcPr>
            <w:tcW w:w="4561" w:type="dxa"/>
            <w:shd w:val="clear" w:color="auto" w:fill="F9F9F9"/>
          </w:tcPr>
          <w:p w14:paraId="3B26D5C9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47_n8n_Prospection_Multi_Prospect_V4_Batch.json</w:t>
            </w:r>
          </w:p>
        </w:tc>
        <w:tc>
          <w:tcPr>
            <w:tcW w:w="4561" w:type="dxa"/>
            <w:shd w:val="clear" w:color="auto" w:fill="F9F9F9"/>
          </w:tcPr>
          <w:p w14:paraId="5BE4500B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Workflow V4 Batch</w:t>
            </w:r>
          </w:p>
        </w:tc>
      </w:tr>
      <w:tr w:rsidR="005B0343" w14:paraId="6B1AFA0B" w14:textId="77777777">
        <w:tc>
          <w:tcPr>
            <w:tcW w:w="4561" w:type="dxa"/>
          </w:tcPr>
          <w:p w14:paraId="7B9256EE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50_Schema_Supabase_Prospection_Multi_Prospects.md</w:t>
            </w:r>
          </w:p>
        </w:tc>
        <w:tc>
          <w:tcPr>
            <w:tcW w:w="4561" w:type="dxa"/>
          </w:tcPr>
          <w:p w14:paraId="381DD256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Schéma base Supabase</w:t>
            </w:r>
          </w:p>
        </w:tc>
      </w:tr>
      <w:tr w:rsidR="005B0343" w14:paraId="1FAD43BB" w14:textId="77777777">
        <w:tc>
          <w:tcPr>
            <w:tcW w:w="4561" w:type="dxa"/>
            <w:shd w:val="clear" w:color="auto" w:fill="F9F9F9"/>
          </w:tcPr>
          <w:p w14:paraId="04F758CF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51_Commandes_Supabase_Migration_Seed_Et_Premier_Batch.md</w:t>
            </w:r>
          </w:p>
        </w:tc>
        <w:tc>
          <w:tcPr>
            <w:tcW w:w="4561" w:type="dxa"/>
            <w:shd w:val="clear" w:color="auto" w:fill="F9F9F9"/>
          </w:tcPr>
          <w:p w14:paraId="2016A464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Migration SQL Supabase</w:t>
            </w:r>
          </w:p>
        </w:tc>
      </w:tr>
      <w:tr w:rsidR="005B0343" w14:paraId="59062E6B" w14:textId="77777777">
        <w:tc>
          <w:tcPr>
            <w:tcW w:w="4561" w:type="dxa"/>
          </w:tcPr>
          <w:p w14:paraId="550C27A3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52_Template_CSV_Google_Sheets_100_Prospects.csv</w:t>
            </w:r>
          </w:p>
        </w:tc>
        <w:tc>
          <w:tcPr>
            <w:tcW w:w="4561" w:type="dxa"/>
          </w:tcPr>
          <w:p w14:paraId="4E5975BA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Template liste prospects</w:t>
            </w:r>
          </w:p>
        </w:tc>
      </w:tr>
      <w:tr w:rsidR="005B0343" w14:paraId="71C74735" w14:textId="77777777">
        <w:tc>
          <w:tcPr>
            <w:tcW w:w="4561" w:type="dxa"/>
            <w:shd w:val="clear" w:color="auto" w:fill="F9F9F9"/>
          </w:tcPr>
          <w:p w14:paraId="5D2FB482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53_Template_CSV_Google_Sheets_Prospects.md</w:t>
            </w:r>
          </w:p>
        </w:tc>
        <w:tc>
          <w:tcPr>
            <w:tcW w:w="4561" w:type="dxa"/>
            <w:shd w:val="clear" w:color="auto" w:fill="F9F9F9"/>
          </w:tcPr>
          <w:p w14:paraId="0A2CBFD0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Guide remplissage CSV</w:t>
            </w:r>
          </w:p>
        </w:tc>
      </w:tr>
      <w:tr w:rsidR="005B0343" w14:paraId="047BD3A9" w14:textId="77777777">
        <w:tc>
          <w:tcPr>
            <w:tcW w:w="4561" w:type="dxa"/>
          </w:tcPr>
          <w:p w14:paraId="0503A263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48_Brancher_Sources_Prospects_GoogleSheets_Airtable_Supabase.md</w:t>
            </w:r>
          </w:p>
        </w:tc>
        <w:tc>
          <w:tcPr>
            <w:tcW w:w="4561" w:type="dxa"/>
          </w:tcPr>
          <w:p w14:paraId="77795341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Guide connexion sources</w:t>
            </w:r>
          </w:p>
        </w:tc>
      </w:tr>
      <w:tr w:rsidR="005B0343" w14:paraId="285B3D40" w14:textId="77777777">
        <w:tc>
          <w:tcPr>
            <w:tcW w:w="4561" w:type="dxa"/>
            <w:shd w:val="clear" w:color="auto" w:fill="F9F9F9"/>
          </w:tcPr>
          <w:p w14:paraId="1D73B537" w14:textId="77777777" w:rsidR="005B0343" w:rsidRDefault="00000000">
            <w:r>
              <w:rPr>
                <w:rFonts w:ascii="Courier New" w:hAnsi="Courier New"/>
                <w:color w:val="C0392B"/>
                <w:sz w:val="18"/>
              </w:rPr>
              <w:t>49_Guide_V4_Batch_Quotas_Stop_Rules.md</w:t>
            </w:r>
          </w:p>
        </w:tc>
        <w:tc>
          <w:tcPr>
            <w:tcW w:w="4561" w:type="dxa"/>
            <w:shd w:val="clear" w:color="auto" w:fill="F9F9F9"/>
          </w:tcPr>
          <w:p w14:paraId="7AFBC902" w14:textId="77777777" w:rsidR="005B0343" w:rsidRDefault="00000000">
            <w:r>
              <w:rPr>
                <w:rFonts w:ascii="Calibri" w:hAnsi="Calibri"/>
                <w:color w:val="2C2C2C"/>
                <w:sz w:val="20"/>
              </w:rPr>
              <w:t>Règles batch V4</w:t>
            </w:r>
          </w:p>
        </w:tc>
      </w:tr>
    </w:tbl>
    <w:p w14:paraId="4F498CE7" w14:textId="77777777" w:rsidR="005B0343" w:rsidRDefault="005B0343">
      <w:pPr>
        <w:spacing w:after="120"/>
      </w:pPr>
    </w:p>
    <w:p w14:paraId="53AF4CCA" w14:textId="77777777" w:rsidR="005B0343" w:rsidRDefault="005B0343">
      <w:pPr>
        <w:pBdr>
          <w:bottom w:val="single" w:sz="4" w:space="1" w:color="CCCCCC"/>
        </w:pBdr>
      </w:pPr>
    </w:p>
    <w:p w14:paraId="0721B72E" w14:textId="77777777" w:rsidR="005B0343" w:rsidRDefault="00000000">
      <w:pPr>
        <w:pBdr>
          <w:bottom w:val="single" w:sz="6" w:space="1" w:color="E87E04"/>
        </w:pBdr>
        <w:spacing w:before="400" w:after="80"/>
      </w:pPr>
      <w:r>
        <w:rPr>
          <w:rFonts w:ascii="Calibri" w:hAnsi="Calibri"/>
          <w:b/>
          <w:color w:val="1A1A2E"/>
          <w:sz w:val="32"/>
        </w:rPr>
        <w:t>Ordre de déploiement recommandé</w:t>
      </w:r>
    </w:p>
    <w:p w14:paraId="337D125D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>[FAIT] V1 — Tester avec 5 à 10 entreprises CI manuellement</w:t>
      </w:r>
    </w:p>
    <w:p w14:paraId="60364B88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  ↓</w:t>
      </w:r>
    </w:p>
    <w:p w14:paraId="1DFC80C4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>[NEXT] V2 — Configurer Supabase + SMTP, tester email d'approbation</w:t>
      </w:r>
    </w:p>
    <w:p w14:paraId="7AE4A94E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  ↓</w:t>
      </w:r>
    </w:p>
    <w:p w14:paraId="314007D4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V3 — Activer l'envoi automatique post-approbation</w:t>
      </w:r>
    </w:p>
    <w:p w14:paraId="0079187A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  ↓</w:t>
      </w:r>
    </w:p>
    <w:p w14:paraId="40ACA63C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V4 — Brancher Google Sheets avec 50 prospects, planifier à 08h00</w:t>
      </w:r>
    </w:p>
    <w:p w14:paraId="3A722231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  ↓</w:t>
      </w:r>
    </w:p>
    <w:p w14:paraId="4796814D" w14:textId="77777777" w:rsidR="005B0343" w:rsidRDefault="00000000">
      <w:pPr>
        <w:shd w:val="clear" w:color="auto" w:fill="F0F0F0"/>
        <w:spacing w:after="0"/>
        <w:ind w:left="576"/>
      </w:pPr>
      <w:r>
        <w:rPr>
          <w:rFonts w:ascii="Courier New" w:hAnsi="Courier New"/>
          <w:color w:val="2E86AB"/>
          <w:sz w:val="18"/>
        </w:rPr>
        <w:t xml:space="preserve">        Suivi — Lire les résultats dans Supabase, ajuster les quotas</w:t>
      </w:r>
    </w:p>
    <w:p w14:paraId="73EB3618" w14:textId="77777777" w:rsidR="005B0343" w:rsidRDefault="005B0343">
      <w:pPr>
        <w:spacing w:after="80"/>
      </w:pPr>
    </w:p>
    <w:p w14:paraId="21872FBB" w14:textId="77777777" w:rsidR="005B0343" w:rsidRDefault="005B0343">
      <w:pPr>
        <w:pBdr>
          <w:bottom w:val="single" w:sz="4" w:space="1" w:color="CCCCCC"/>
        </w:pBdr>
      </w:pPr>
    </w:p>
    <w:p w14:paraId="5A3ED9E5" w14:textId="77777777" w:rsidR="005B0343" w:rsidRDefault="00000000">
      <w:pPr>
        <w:spacing w:after="80"/>
      </w:pPr>
      <w:r>
        <w:rPr>
          <w:rFonts w:ascii="Calibri" w:hAnsi="Calibri"/>
          <w:color w:val="2C2C2C"/>
        </w:rPr>
        <w:t>*Document généré le 2026-05-23 — TransferAI Africa*</w:t>
      </w:r>
    </w:p>
    <w:sectPr w:rsidR="005B0343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736132">
    <w:abstractNumId w:val="8"/>
  </w:num>
  <w:num w:numId="2" w16cid:durableId="2099523154">
    <w:abstractNumId w:val="6"/>
  </w:num>
  <w:num w:numId="3" w16cid:durableId="276257597">
    <w:abstractNumId w:val="5"/>
  </w:num>
  <w:num w:numId="4" w16cid:durableId="877813082">
    <w:abstractNumId w:val="4"/>
  </w:num>
  <w:num w:numId="5" w16cid:durableId="1738673647">
    <w:abstractNumId w:val="7"/>
  </w:num>
  <w:num w:numId="6" w16cid:durableId="92361507">
    <w:abstractNumId w:val="3"/>
  </w:num>
  <w:num w:numId="7" w16cid:durableId="653610614">
    <w:abstractNumId w:val="2"/>
  </w:num>
  <w:num w:numId="8" w16cid:durableId="1646281829">
    <w:abstractNumId w:val="1"/>
  </w:num>
  <w:num w:numId="9" w16cid:durableId="165256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0343"/>
    <w:rsid w:val="006712E5"/>
    <w:rsid w:val="007006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EDDD7"/>
  <w14:defaultImageDpi w14:val="300"/>
  <w15:docId w15:val="{46DEE1D0-D5D0-7249-BA03-1BC72B65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2587</Words>
  <Characters>14747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vtoc limited</cp:lastModifiedBy>
  <cp:revision>2</cp:revision>
  <dcterms:created xsi:type="dcterms:W3CDTF">2026-05-23T03:39:00Z</dcterms:created>
  <dcterms:modified xsi:type="dcterms:W3CDTF">2026-05-23T03:39:00Z</dcterms:modified>
  <cp:category/>
</cp:coreProperties>
</file>