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tbl>
      <w:tblPr>
        <w:tblW w:type="dxa" w:w="3600"/>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E8630A" w:sz="4"/>
              <w:left w:val="single" w:color="E8630A" w:sz="4"/>
              <w:bottom w:val="single" w:color="E8630A" w:sz="4"/>
              <w:right w:val="single" w:color="E8630A" w:sz="4"/>
            </w:tcBorders>
            <w:shd w:fill="FEF0E7" w:val="clear"/>
            <w:tcMar>
              <w:top w:type="dxa" w:w="80"/>
              <w:left w:type="dxa" w:w="180"/>
              <w:bottom w:type="dxa" w:w="80"/>
              <w:right w:type="dxa" w:w="180"/>
            </w:tcMar>
          </w:tcPr>
          <w:p>
            <w:pPr>
              <w:jc w:val="center"/>
            </w:pPr>
            <w:r>
              <w:rPr>
                <w:rFonts w:ascii="Arial" w:cs="Arial" w:eastAsia="Arial" w:hAnsi="Arial"/>
                <w:b/>
                <w:bCs/>
                <w:color w:val="E8630A"/>
                <w:sz w:val="18"/>
                <w:szCs w:val="18"/>
              </w:rPr>
              <w:t xml:space="preserve">CONFIDENTIEL — REUNION FONDATEURS</w:t>
            </w:r>
          </w:p>
        </w:tc>
      </w:tr>
    </w:tbl>
    <w:p>
      <w:pPr>
        <w:spacing w:after="1200" w:before="0"/>
      </w:pPr>
      <w:r>
        <w:t xml:space="preserve"/>
      </w:r>
    </w:p>
    <w:p>
      <w:pPr>
        <w:pBdr>
          <w:bottom w:val="single" w:color="E8630A" w:sz="6" w:space="1"/>
        </w:pBdr>
        <w:spacing w:after="120" w:before="0"/>
      </w:pPr>
      <w:r>
        <w:t xml:space="preserve"/>
      </w:r>
    </w:p>
    <w:p>
      <w:pPr>
        <w:spacing w:after="600" w:before="0"/>
      </w:pPr>
      <w:r>
        <w:t xml:space="preserve"/>
      </w:r>
    </w:p>
    <w:p>
      <w:pPr>
        <w:spacing w:after="60" w:before="0"/>
        <w:jc w:val="left"/>
      </w:pPr>
      <w:r>
        <w:rPr>
          <w:rFonts w:ascii="Arial" w:cs="Arial" w:eastAsia="Arial" w:hAnsi="Arial"/>
          <w:b/>
          <w:bCs/>
          <w:color w:val="E8630A"/>
          <w:sz w:val="80"/>
          <w:szCs w:val="80"/>
        </w:rPr>
        <w:t xml:space="preserve">TransferAI</w:t>
      </w:r>
    </w:p>
    <w:p>
      <w:pPr>
        <w:spacing w:after="40" w:before="0"/>
        <w:jc w:val="left"/>
      </w:pPr>
      <w:r>
        <w:rPr>
          <w:rFonts w:ascii="Arial" w:cs="Arial" w:eastAsia="Arial" w:hAnsi="Arial"/>
          <w:b w:val="false"/>
          <w:bCs w:val="false"/>
          <w:color w:val="1F3864"/>
          <w:sz w:val="44"/>
          <w:szCs w:val="44"/>
        </w:rPr>
        <w:t xml:space="preserve">Prospection Intelligente B2B</w:t>
      </w:r>
    </w:p>
    <w:p>
      <w:pPr>
        <w:spacing w:after="400" w:before="0"/>
      </w:pPr>
      <w:r>
        <w:t xml:space="preserve"/>
      </w:r>
    </w:p>
    <w:p>
      <w:pPr>
        <w:pBdr>
          <w:bottom w:val="single" w:color="1F3864" w:sz="6" w:space="1"/>
        </w:pBdr>
        <w:spacing w:after="120" w:before="0"/>
      </w:pPr>
      <w:r>
        <w:t xml:space="preserve"/>
      </w:r>
    </w:p>
    <w:p>
      <w:pPr>
        <w:spacing w:after="400" w:before="0"/>
      </w:pPr>
      <w:r>
        <w:t xml:space="preserve"/>
      </w:r>
    </w:p>
    <w:p>
      <w:pPr>
        <w:spacing w:after="20" w:before="0"/>
        <w:jc w:val="left"/>
      </w:pPr>
      <w:r>
        <w:rPr>
          <w:rFonts w:ascii="Arial" w:cs="Arial" w:eastAsia="Arial" w:hAnsi="Arial"/>
          <w:b/>
          <w:bCs/>
          <w:color w:val="1F3864"/>
          <w:sz w:val="28"/>
          <w:szCs w:val="28"/>
        </w:rPr>
        <w:t xml:space="preserve">Presentation aux Fondateurs</w:t>
      </w:r>
    </w:p>
    <w:p>
      <w:pPr>
        <w:spacing w:after="20" w:before="0"/>
        <w:jc w:val="left"/>
      </w:pPr>
      <w:r>
        <w:rPr>
          <w:rFonts w:ascii="Arial" w:cs="Arial" w:eastAsia="Arial" w:hAnsi="Arial"/>
          <w:color w:val="555555"/>
          <w:sz w:val="26"/>
          <w:szCs w:val="26"/>
        </w:rPr>
        <w:t xml:space="preserve">Dimanche 31 Mai 2026</w:t>
      </w:r>
    </w:p>
    <w:p>
      <w:pPr>
        <w:spacing w:after="1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4"/>
              <w:left w:val="single" w:color="1F3864" w:sz="4"/>
              <w:bottom w:val="single" w:color="1F3864" w:sz="4"/>
              <w:right w:val="single" w:color="1F3864" w:sz="4"/>
            </w:tcBorders>
            <w:shd w:fill="EAF4FB" w:val="clear"/>
            <w:tcMar>
              <w:top w:type="dxa" w:w="200"/>
              <w:left w:type="dxa" w:w="300"/>
              <w:bottom w:type="dxa" w:w="200"/>
              <w:right w:type="dxa" w:w="300"/>
            </w:tcMar>
          </w:tcPr>
          <w:p>
            <w:pPr>
              <w:spacing w:after="80" w:before="0"/>
            </w:pPr>
            <w:r>
              <w:rPr>
                <w:rFonts w:ascii="Arial" w:cs="Arial" w:eastAsia="Arial" w:hAnsi="Arial"/>
                <w:b/>
                <w:bCs/>
                <w:color w:val="1F3864"/>
                <w:sz w:val="26"/>
                <w:szCs w:val="26"/>
              </w:rPr>
              <w:t xml:space="preserve">Automatiser la prospection commerciale B2B en Cote d'Ivoire</w:t>
            </w:r>
          </w:p>
          <w:p>
            <w:pPr>
              <w:spacing w:after="0" w:before="0"/>
            </w:pPr>
            <w:r>
              <w:rPr>
                <w:rFonts w:ascii="Arial" w:cs="Arial" w:eastAsia="Arial" w:hAnsi="Arial"/>
                <w:color w:val="444444"/>
                <w:sz w:val="22"/>
                <w:szCs w:val="22"/>
              </w:rPr>
              <w:t xml:space="preserve">grâce a l'intelligence artificielle, l'automatisation n8n et un CRM Supabase,</w:t>
            </w:r>
          </w:p>
          <w:p>
            <w:pPr>
              <w:spacing w:after="0" w:before="0"/>
            </w:pPr>
            <w:r>
              <w:rPr>
                <w:rFonts w:ascii="Arial" w:cs="Arial" w:eastAsia="Arial" w:hAnsi="Arial"/>
                <w:color w:val="444444"/>
                <w:sz w:val="22"/>
                <w:szCs w:val="22"/>
              </w:rPr>
              <w:t xml:space="preserve">pour contacter les bons decideurs avec les bonnes propositions au bon moment.</w:t>
            </w:r>
          </w:p>
        </w:tc>
      </w:tr>
    </w:tbl>
    <w:p>
      <w:pPr>
        <w:spacing w:after="16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EF0E7" w:val="clear"/>
            <w:tcMar>
              <w:top w:type="dxa" w:w="120"/>
              <w:left w:type="dxa" w:w="120"/>
              <w:bottom w:type="dxa" w:w="120"/>
              <w:right w:type="dxa" w:w="120"/>
            </w:tcMar>
          </w:tcPr>
          <w:p>
            <w:pPr>
              <w:jc w:val="center"/>
            </w:pPr>
            <w:r>
              <w:rPr>
                <w:rFonts w:ascii="Arial" w:cs="Arial" w:eastAsia="Arial" w:hAnsi="Arial"/>
                <w:b/>
                <w:bCs/>
                <w:color w:val="E8630A"/>
                <w:sz w:val="52"/>
                <w:szCs w:val="52"/>
              </w:rPr>
              <w:t xml:space="preserve">44</w:t>
            </w:r>
          </w:p>
          <w:p>
            <w:pPr>
              <w:jc w:val="center"/>
            </w:pPr>
            <w:r>
              <w:rPr>
                <w:rFonts w:ascii="Arial" w:cs="Arial" w:eastAsia="Arial" w:hAnsi="Arial"/>
                <w:color w:val="1F3864"/>
                <w:sz w:val="18"/>
                <w:szCs w:val="18"/>
              </w:rPr>
              <w:t xml:space="preserve">Noeuds Workflow V3</w:t>
            </w:r>
          </w:p>
        </w:tc>
        <w:tc>
          <w:tcPr>
            <w:tcW w:type="dxa" w:w="3120"/>
            <w:tcBorders>
              <w:top w:val="single" w:color="CCCCCC" w:sz="1"/>
              <w:left w:val="single" w:color="CCCCCC" w:sz="1"/>
              <w:bottom w:val="single" w:color="CCCCCC" w:sz="1"/>
              <w:right w:val="single" w:color="CCCCCC" w:sz="1"/>
            </w:tcBorders>
            <w:shd w:fill="EAF4FB" w:val="clear"/>
            <w:tcMar>
              <w:top w:type="dxa" w:w="120"/>
              <w:left w:type="dxa" w:w="120"/>
              <w:bottom w:type="dxa" w:w="120"/>
              <w:right w:type="dxa" w:w="120"/>
            </w:tcMar>
          </w:tcPr>
          <w:p>
            <w:pPr>
              <w:jc w:val="center"/>
            </w:pPr>
            <w:r>
              <w:rPr>
                <w:rFonts w:ascii="Arial" w:cs="Arial" w:eastAsia="Arial" w:hAnsi="Arial"/>
                <w:b/>
                <w:bCs/>
                <w:color w:val="1F3864"/>
                <w:sz w:val="52"/>
                <w:szCs w:val="52"/>
              </w:rPr>
              <w:t xml:space="preserve">200</w:t>
            </w:r>
          </w:p>
          <w:p>
            <w:pPr>
              <w:jc w:val="center"/>
            </w:pPr>
            <w:r>
              <w:rPr>
                <w:rFonts w:ascii="Arial" w:cs="Arial" w:eastAsia="Arial" w:hAnsi="Arial"/>
                <w:color w:val="1F3864"/>
                <w:sz w:val="18"/>
                <w:szCs w:val="18"/>
              </w:rPr>
              <w:t xml:space="preserve">Prospects CRM (CI)</w:t>
            </w:r>
          </w:p>
        </w:tc>
        <w:tc>
          <w:tcPr>
            <w:tcW w:type="dxa" w:w="3120"/>
            <w:tcBorders>
              <w:top w:val="single" w:color="CCCCCC" w:sz="1"/>
              <w:left w:val="single" w:color="CCCCCC" w:sz="1"/>
              <w:bottom w:val="single" w:color="CCCCCC" w:sz="1"/>
              <w:right w:val="single" w:color="CCCCCC" w:sz="1"/>
            </w:tcBorders>
            <w:shd w:fill="FEF0E7" w:val="clear"/>
            <w:tcMar>
              <w:top w:type="dxa" w:w="120"/>
              <w:left w:type="dxa" w:w="120"/>
              <w:bottom w:type="dxa" w:w="120"/>
              <w:right w:type="dxa" w:w="120"/>
            </w:tcMar>
          </w:tcPr>
          <w:p>
            <w:pPr>
              <w:jc w:val="center"/>
            </w:pPr>
            <w:r>
              <w:rPr>
                <w:rFonts w:ascii="Arial" w:cs="Arial" w:eastAsia="Arial" w:hAnsi="Arial"/>
                <w:b/>
                <w:bCs/>
                <w:color w:val="E8630A"/>
                <w:sz w:val="52"/>
                <w:szCs w:val="52"/>
              </w:rPr>
              <w:t xml:space="preserve">5/jour</w:t>
            </w:r>
          </w:p>
          <w:p>
            <w:pPr>
              <w:jc w:val="center"/>
            </w:pPr>
            <w:r>
              <w:rPr>
                <w:rFonts w:ascii="Arial" w:cs="Arial" w:eastAsia="Arial" w:hAnsi="Arial"/>
                <w:color w:val="1F3864"/>
                <w:sz w:val="18"/>
                <w:szCs w:val="18"/>
              </w:rPr>
              <w:t xml:space="preserve">Batch Automatique Lun-Ven</w:t>
            </w:r>
          </w:p>
        </w:tc>
      </w:tr>
    </w:tbl>
    <w:p>
      <w:r>
        <w:br w:type="page"/>
      </w:r>
    </w:p>
    <w:p>
      <w:pPr>
        <w:sectPr>
          <w:pgSz w:w="12240" w:h="15840" w:orient="portrait"/>
          <w:pgMar w:top="1440" w:right="1440" w:bottom="1440" w:left="1440" w:header="708" w:footer="708" w:gutter="0"/>
          <w:pgNumType/>
          <w:titlePg/>
          <w:docGrid w:linePitch="360"/>
        </w:sectPr>
      </w:pPr>
    </w:p>
    <w:p>
      <w:pPr>
        <w:pStyle w:val="Heading1"/>
      </w:pPr>
      <w:r>
        <w:rPr>
          <w:rFonts w:ascii="Arial" w:cs="Arial" w:eastAsia="Arial" w:hAnsi="Arial"/>
          <w:b/>
          <w:bCs/>
          <w:color w:val="E8630A"/>
          <w:sz w:val="32"/>
          <w:szCs w:val="32"/>
        </w:rPr>
        <w:t xml:space="preserve">Table des matieres</w:t>
      </w:r>
    </w:p>
    <w:sdt>
      <w:sdtPr>
        <w:alias w:val="Table des matieres"/>
      </w:sdtPr>
      <w:sdtContent>
        <w:p>
          <w:r>
            <w:fldChar w:fldCharType="begin" w:dirty="true"/>
            <w:instrText xml:space="preserve">TOC \h \o "1-3"</w:instrText>
            <w:fldChar w:fldCharType="separate"/>
          </w:r>
        </w:p>
        <w:p>
          <w:r>
            <w:fldChar w:fldCharType="end"/>
          </w:r>
        </w:p>
      </w:sdtContent>
    </w:sdt>
    <w:p>
      <w:r>
        <w:br w:type="page"/>
      </w:r>
    </w:p>
    <w:p>
      <w:pPr>
        <w:spacing w:after="40" w:before="0"/>
        <w:jc w:val="center"/>
      </w:pPr>
      <w:r>
        <w:rPr>
          <w:rFonts w:ascii="Arial" w:cs="Arial" w:eastAsia="Arial" w:hAnsi="Arial"/>
          <w:b w:val="false"/>
          <w:bCs w:val="false"/>
          <w:color w:val="AAAAAA"/>
          <w:sz w:val="22"/>
          <w:szCs w:val="22"/>
        </w:rPr>
        <w:t xml:space="preserve">PARTIE 1</w:t>
      </w:r>
    </w:p>
    <w:p>
      <w:pPr>
        <w:pStyle w:val="Heading1"/>
      </w:pPr>
      <w:r>
        <w:rPr>
          <w:rFonts w:ascii="Arial" w:cs="Arial" w:eastAsia="Arial" w:hAnsi="Arial"/>
          <w:b/>
          <w:bCs/>
          <w:color w:val="E8630A"/>
          <w:sz w:val="36"/>
          <w:szCs w:val="36"/>
        </w:rPr>
        <w:t xml:space="preserve">Presentation Executive — TransferAI</w:t>
      </w:r>
    </w:p>
    <w:p>
      <w:pPr>
        <w:pBdr>
          <w:bottom w:val="single" w:color="E8630A" w:sz="6" w:space="1"/>
        </w:pBdr>
        <w:spacing w:after="120" w:before="0"/>
      </w:pPr>
      <w:r>
        <w:t xml:space="preserve"/>
      </w:r>
    </w:p>
    <w:p>
      <w:pPr>
        <w:spacing w:after="200" w:before="0"/>
      </w:pPr>
      <w:r>
        <w:t xml:space="preserve"/>
      </w:r>
    </w:p>
    <w:p>
      <w:pPr>
        <w:pStyle w:val="Heading1"/>
      </w:pPr>
      <w:r>
        <w:rPr>
          <w:rFonts w:ascii="Arial" w:cs="Arial" w:eastAsia="Arial" w:hAnsi="Arial"/>
          <w:b/>
          <w:bCs/>
          <w:color w:val="E8630A"/>
          <w:sz w:val="32"/>
          <w:szCs w:val="32"/>
        </w:rPr>
        <w:t xml:space="preserve">1. Vision du Projet</w:t>
      </w:r>
    </w:p>
    <w:p>
      <w:pPr>
        <w:spacing w:after="60" w:before="60"/>
      </w:pPr>
      <w:r>
        <w:rPr>
          <w:rFonts w:ascii="Arial" w:cs="Arial" w:eastAsia="Arial" w:hAnsi="Arial"/>
          <w:sz w:val="22"/>
          <w:szCs w:val="22"/>
        </w:rPr>
        <w:t xml:space="preserve">TransferAI est une plateforme d'automatisation de la prospection commerciale B2B en Cote d'Ivoire. Elle combine l'intelligence artificielle (OpenAI), l'automatisation (n8n), et un CRM (Supabase) pour identifier, analyser et contacter automatiquement des decideurs d'entreprises cibles avec des propositions commerciales ultra-personnalisees.</w:t>
      </w:r>
    </w:p>
    <w:p>
      <w:pPr>
        <w:spacing w:after="200" w:before="0"/>
      </w:pPr>
      <w:r>
        <w:t xml:space="preserve"/>
      </w:r>
    </w:p>
    <w:p>
      <w:pPr>
        <w:pStyle w:val="Heading1"/>
      </w:pPr>
      <w:r>
        <w:rPr>
          <w:rFonts w:ascii="Arial" w:cs="Arial" w:eastAsia="Arial" w:hAnsi="Arial"/>
          <w:b/>
          <w:bCs/>
          <w:color w:val="E8630A"/>
          <w:sz w:val="32"/>
          <w:szCs w:val="32"/>
        </w:rPr>
        <w:t xml:space="preserve">2. Probleme Resolu</w:t>
      </w:r>
    </w:p>
    <w:p>
      <w:pPr>
        <w:pStyle w:val="ListParagraph"/>
        <w:numPr>
          <w:ilvl w:val="0"/>
          <w:numId w:val="2"/>
        </w:numPr>
        <w:spacing w:after="40" w:before="40"/>
      </w:pPr>
      <w:r>
        <w:rPr>
          <w:rFonts w:ascii="Arial" w:cs="Arial" w:eastAsia="Arial" w:hAnsi="Arial"/>
          <w:sz w:val="22"/>
          <w:szCs w:val="22"/>
        </w:rPr>
        <w:t xml:space="preserve">La prospection manuelle est lente, couteuse et incoherente</w:t>
      </w:r>
    </w:p>
    <w:p>
      <w:pPr>
        <w:pStyle w:val="ListParagraph"/>
        <w:numPr>
          <w:ilvl w:val="0"/>
          <w:numId w:val="2"/>
        </w:numPr>
        <w:spacing w:after="40" w:before="40"/>
      </w:pPr>
      <w:r>
        <w:rPr>
          <w:rFonts w:ascii="Arial" w:cs="Arial" w:eastAsia="Arial" w:hAnsi="Arial"/>
          <w:sz w:val="22"/>
          <w:szCs w:val="22"/>
        </w:rPr>
        <w:t xml:space="preserve">Les commerciaux passent 70% de leur temps a des taches repetitives</w:t>
      </w:r>
    </w:p>
    <w:p>
      <w:pPr>
        <w:pStyle w:val="ListParagraph"/>
        <w:numPr>
          <w:ilvl w:val="0"/>
          <w:numId w:val="2"/>
        </w:numPr>
        <w:spacing w:after="40" w:before="40"/>
      </w:pPr>
      <w:r>
        <w:rPr>
          <w:rFonts w:ascii="Arial" w:cs="Arial" w:eastAsia="Arial" w:hAnsi="Arial"/>
          <w:sz w:val="22"/>
          <w:szCs w:val="22"/>
        </w:rPr>
        <w:t xml:space="preserve">Les emails generiques ont des taux de reponse inferieurs a 2%</w:t>
      </w:r>
    </w:p>
    <w:p>
      <w:pPr>
        <w:pStyle w:val="ListParagraph"/>
        <w:numPr>
          <w:ilvl w:val="0"/>
          <w:numId w:val="2"/>
        </w:numPr>
        <w:spacing w:after="40" w:before="40"/>
      </w:pPr>
      <w:r>
        <w:rPr>
          <w:rFonts w:ascii="Arial" w:cs="Arial" w:eastAsia="Arial" w:hAnsi="Arial"/>
          <w:sz w:val="22"/>
          <w:szCs w:val="22"/>
        </w:rPr>
        <w:t xml:space="preserve">Absence de suivi structure des prospects en Cote d'Ivoire</w:t>
      </w:r>
    </w:p>
    <w:p>
      <w:pPr>
        <w:spacing w:after="200" w:before="0"/>
      </w:pPr>
      <w:r>
        <w:t xml:space="preserve"/>
      </w:r>
    </w:p>
    <w:p>
      <w:pPr>
        <w:pStyle w:val="Heading1"/>
      </w:pPr>
      <w:r>
        <w:rPr>
          <w:rFonts w:ascii="Arial" w:cs="Arial" w:eastAsia="Arial" w:hAnsi="Arial"/>
          <w:b/>
          <w:bCs/>
          <w:color w:val="E8630A"/>
          <w:sz w:val="32"/>
          <w:szCs w:val="32"/>
        </w:rPr>
        <w:t xml:space="preserve">3. Notre Solution — 3 Phases Automatisees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4"/>
              <w:left w:val="single" w:color="E8630A" w:sz="4"/>
              <w:bottom w:val="none" w:color="FFFFFF" w:sz="0"/>
              <w:right w:val="none" w:color="FFFFFF" w:sz="0"/>
            </w:tcBorders>
            <w:shd w:fill="FEF0E7" w:val="clear"/>
            <w:tcMar>
              <w:top w:type="dxa" w:w="120"/>
              <w:left w:type="dxa" w:w="180"/>
              <w:bottom w:type="dxa" w:w="40"/>
              <w:right w:type="dxa" w:w="120"/>
            </w:tcMar>
          </w:tcPr>
          <w:p>
            <w:r>
              <w:rPr>
                <w:rFonts w:ascii="Arial" w:cs="Arial" w:eastAsia="Arial" w:hAnsi="Arial"/>
                <w:b/>
                <w:bCs/>
                <w:color w:val="E8630A"/>
                <w:sz w:val="24"/>
                <w:szCs w:val="24"/>
              </w:rPr>
              <w:t xml:space="preserve">Phase 1 — </w:t>
            </w:r>
            <w:r>
              <w:rPr>
                <w:rFonts w:ascii="Arial" w:cs="Arial" w:eastAsia="Arial" w:hAnsi="Arial"/>
                <w:b/>
                <w:bCs/>
                <w:color w:val="1F3864"/>
                <w:sz w:val="24"/>
                <w:szCs w:val="24"/>
              </w:rPr>
              <w:t xml:space="preserve">Recherche &amp; Analyse</w:t>
            </w:r>
          </w:p>
        </w:tc>
      </w:tr>
      <w:tr>
        <w:tc>
          <w:tcPr>
            <w:tcW w:type="dxa" w:w="9360"/>
            <w:tcBorders>
              <w:top w:val="none" w:color="FFFFFF" w:sz="0"/>
              <w:left w:val="single" w:color="E8630A" w:sz="4"/>
              <w:bottom w:val="single" w:color="E8630A" w:sz="4"/>
              <w:right w:val="none" w:color="FFFFFF" w:sz="0"/>
            </w:tcBorders>
            <w:shd w:fill="FFFDF9" w:val="clear"/>
            <w:tcMar>
              <w:top w:type="dxa" w:w="60"/>
              <w:left w:type="dxa" w:w="180"/>
              <w:bottom w:type="dxa" w:w="120"/>
              <w:right w:type="dxa" w:w="120"/>
            </w:tcMar>
          </w:tcPr>
          <w:p>
            <w:r>
              <w:rPr>
                <w:rFonts w:ascii="Arial" w:cs="Arial" w:eastAsia="Arial" w:hAnsi="Arial"/>
                <w:sz w:val="21"/>
                <w:szCs w:val="21"/>
              </w:rPr>
              <w:t xml:space="preserve">Scraping automatique du site web de l'entreprise cible — Analyse IA des signaux commerciaux (OpenAI GPT-4) — Generation d'un pack commercial personnalise: lettre executive, catalogue produits, audit ROI, deck brief — Stockage dans Supabase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4"/>
              <w:left w:val="single" w:color="E8630A" w:sz="4"/>
              <w:bottom w:val="none" w:color="FFFFFF" w:sz="0"/>
              <w:right w:val="none" w:color="FFFFFF" w:sz="0"/>
            </w:tcBorders>
            <w:shd w:fill="FEF0E7" w:val="clear"/>
            <w:tcMar>
              <w:top w:type="dxa" w:w="120"/>
              <w:left w:type="dxa" w:w="180"/>
              <w:bottom w:type="dxa" w:w="40"/>
              <w:right w:type="dxa" w:w="120"/>
            </w:tcMar>
          </w:tcPr>
          <w:p>
            <w:r>
              <w:rPr>
                <w:rFonts w:ascii="Arial" w:cs="Arial" w:eastAsia="Arial" w:hAnsi="Arial"/>
                <w:b/>
                <w:bCs/>
                <w:color w:val="E8630A"/>
                <w:sz w:val="24"/>
                <w:szCs w:val="24"/>
              </w:rPr>
              <w:t xml:space="preserve">Phase 2 — </w:t>
            </w:r>
            <w:r>
              <w:rPr>
                <w:rFonts w:ascii="Arial" w:cs="Arial" w:eastAsia="Arial" w:hAnsi="Arial"/>
                <w:b/>
                <w:bCs/>
                <w:color w:val="1F3864"/>
                <w:sz w:val="24"/>
                <w:szCs w:val="24"/>
              </w:rPr>
              <w:t xml:space="preserve">Controle Humain</w:t>
            </w:r>
          </w:p>
        </w:tc>
      </w:tr>
      <w:tr>
        <w:tc>
          <w:tcPr>
            <w:tcW w:type="dxa" w:w="9360"/>
            <w:tcBorders>
              <w:top w:val="none" w:color="FFFFFF" w:sz="0"/>
              <w:left w:val="single" w:color="E8630A" w:sz="4"/>
              <w:bottom w:val="single" w:color="E8630A" w:sz="4"/>
              <w:right w:val="none" w:color="FFFFFF" w:sz="0"/>
            </w:tcBorders>
            <w:shd w:fill="FFFDF9" w:val="clear"/>
            <w:tcMar>
              <w:top w:type="dxa" w:w="60"/>
              <w:left w:type="dxa" w:w="180"/>
              <w:bottom w:type="dxa" w:w="120"/>
              <w:right w:type="dxa" w:w="120"/>
            </w:tcMar>
          </w:tcPr>
          <w:p>
            <w:r>
              <w:rPr>
                <w:rFonts w:ascii="Arial" w:cs="Arial" w:eastAsia="Arial" w:hAnsi="Arial"/>
                <w:sz w:val="21"/>
                <w:szCs w:val="21"/>
              </w:rPr>
              <w:t xml:space="preserve">Le fondateur recoit un email d'approbation avec le pack complet — Il revise le contenu genere par l'IA — Il approuve ou rejette en un seul clic via un lien securise — Aucun email ne part sans validation humaine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4"/>
              <w:left w:val="single" w:color="E8630A" w:sz="4"/>
              <w:bottom w:val="none" w:color="FFFFFF" w:sz="0"/>
              <w:right w:val="none" w:color="FFFFFF" w:sz="0"/>
            </w:tcBorders>
            <w:shd w:fill="FEF0E7" w:val="clear"/>
            <w:tcMar>
              <w:top w:type="dxa" w:w="120"/>
              <w:left w:type="dxa" w:w="180"/>
              <w:bottom w:type="dxa" w:w="40"/>
              <w:right w:type="dxa" w:w="120"/>
            </w:tcMar>
          </w:tcPr>
          <w:p>
            <w:r>
              <w:rPr>
                <w:rFonts w:ascii="Arial" w:cs="Arial" w:eastAsia="Arial" w:hAnsi="Arial"/>
                <w:b/>
                <w:bCs/>
                <w:color w:val="E8630A"/>
                <w:sz w:val="24"/>
                <w:szCs w:val="24"/>
              </w:rPr>
              <w:t xml:space="preserve">Phase 3 — </w:t>
            </w:r>
            <w:r>
              <w:rPr>
                <w:rFonts w:ascii="Arial" w:cs="Arial" w:eastAsia="Arial" w:hAnsi="Arial"/>
                <w:b/>
                <w:bCs/>
                <w:color w:val="1F3864"/>
                <w:sz w:val="24"/>
                <w:szCs w:val="24"/>
              </w:rPr>
              <w:t xml:space="preserve">Execution</w:t>
            </w:r>
          </w:p>
        </w:tc>
      </w:tr>
      <w:tr>
        <w:tc>
          <w:tcPr>
            <w:tcW w:type="dxa" w:w="9360"/>
            <w:tcBorders>
              <w:top w:val="none" w:color="FFFFFF" w:sz="0"/>
              <w:left w:val="single" w:color="E8630A" w:sz="4"/>
              <w:bottom w:val="single" w:color="E8630A" w:sz="4"/>
              <w:right w:val="none" w:color="FFFFFF" w:sz="0"/>
            </w:tcBorders>
            <w:shd w:fill="FFFDF9" w:val="clear"/>
            <w:tcMar>
              <w:top w:type="dxa" w:w="60"/>
              <w:left w:type="dxa" w:w="180"/>
              <w:bottom w:type="dxa" w:w="120"/>
              <w:right w:type="dxa" w:w="120"/>
            </w:tcMar>
          </w:tcPr>
          <w:p>
            <w:r>
              <w:rPr>
                <w:rFonts w:ascii="Arial" w:cs="Arial" w:eastAsia="Arial" w:hAnsi="Arial"/>
                <w:sz w:val="21"/>
                <w:szCs w:val="21"/>
              </w:rPr>
              <w:t xml:space="preserve">Envoi automatique de l'email personnalise au decideur de l'entreprise — Mise a jour du CRM (statut prospect, historique) — Logs de prospection pour analyse des performances — Notification interne au fondateur</w:t>
            </w:r>
          </w:p>
        </w:tc>
      </w:tr>
    </w:tbl>
    <w:p>
      <w:pPr>
        <w:spacing w:after="200" w:before="0"/>
      </w:pPr>
      <w:r>
        <w:t xml:space="preserve"/>
      </w:r>
    </w:p>
    <w:p>
      <w:pPr>
        <w:pStyle w:val="Heading1"/>
      </w:pPr>
      <w:r>
        <w:rPr>
          <w:rFonts w:ascii="Arial" w:cs="Arial" w:eastAsia="Arial" w:hAnsi="Arial"/>
          <w:b/>
          <w:bCs/>
          <w:color w:val="E8630A"/>
          <w:sz w:val="32"/>
          <w:szCs w:val="32"/>
        </w:rPr>
        <w:t xml:space="preserve">4. Architecture Technique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n8n (Hostinger)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Orchestration des workflows — 44 noeuds V3, 12 noeuds V4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OpenAI GPT-4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Generation du contenu personnalise (lettres, audits, catalogues)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Supabase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CRM et base de donnees — prospects, packs, logs outreach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Resend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Envoi des emails transactionnels avec haute delivrabilite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3864"/>
                <w:sz w:val="20"/>
                <w:szCs w:val="20"/>
              </w:rPr>
              <w:t xml:space="preserve">200 prospects CI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Base CRM initiale — Tier 1 (37), Tier 2 (118), Tier 3 (45)</w:t>
            </w:r>
          </w:p>
        </w:tc>
      </w:tr>
    </w:tbl>
    <w:p>
      <w:pPr>
        <w:spacing w:after="200" w:before="0"/>
      </w:pPr>
      <w:r>
        <w:t xml:space="preserve"/>
      </w:r>
    </w:p>
    <w:p>
      <w:pPr>
        <w:pStyle w:val="Heading1"/>
      </w:pPr>
      <w:r>
        <w:rPr>
          <w:rFonts w:ascii="Arial" w:cs="Arial" w:eastAsia="Arial" w:hAnsi="Arial"/>
          <w:b/>
          <w:bCs/>
          <w:color w:val="E8630A"/>
          <w:sz w:val="32"/>
          <w:szCs w:val="32"/>
        </w:rPr>
        <w:t xml:space="preserve">5. Metriques &amp; Objectifs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Valeur Cible</w:t>
            </w:r>
          </w:p>
        </w:tc>
      </w:tr>
      <w:tr>
        <w:tc>
          <w:tcPr>
            <w:tcW w:type="dxa" w:w="468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sz w:val="20"/>
                <w:szCs w:val="20"/>
              </w:rPr>
              <w:t xml:space="preserve">Prospects traites / jour</w:t>
            </w:r>
          </w:p>
        </w:tc>
        <w:tc>
          <w:tcPr>
            <w:tcW w:type="dxa" w:w="468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jc w:val="center"/>
            </w:pPr>
            <w:r>
              <w:rPr>
                <w:rFonts w:ascii="Arial" w:cs="Arial" w:eastAsia="Arial" w:hAnsi="Arial"/>
                <w:b/>
                <w:bCs/>
                <w:color w:val="E8630A"/>
                <w:sz w:val="20"/>
                <w:szCs w:val="20"/>
              </w:rPr>
              <w:t xml:space="preserve">5 (lundi au vendredi)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Prospects / mois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8630A"/>
                <w:sz w:val="20"/>
                <w:szCs w:val="20"/>
              </w:rPr>
              <w:t xml:space="preserve">~100</w:t>
            </w:r>
          </w:p>
        </w:tc>
      </w:tr>
      <w:tr>
        <w:tc>
          <w:tcPr>
            <w:tcW w:type="dxa" w:w="468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sz w:val="20"/>
                <w:szCs w:val="20"/>
              </w:rPr>
              <w:t xml:space="preserve">Taux d'ouverture email cible</w:t>
            </w:r>
          </w:p>
        </w:tc>
        <w:tc>
          <w:tcPr>
            <w:tcW w:type="dxa" w:w="468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jc w:val="center"/>
            </w:pPr>
            <w:r>
              <w:rPr>
                <w:rFonts w:ascii="Arial" w:cs="Arial" w:eastAsia="Arial" w:hAnsi="Arial"/>
                <w:b/>
                <w:bCs/>
                <w:color w:val="E8630A"/>
                <w:sz w:val="20"/>
                <w:szCs w:val="20"/>
              </w:rPr>
              <w:t xml:space="preserve">15%</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de reponse cible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8630A"/>
                <w:sz w:val="20"/>
                <w:szCs w:val="20"/>
              </w:rPr>
              <w:t xml:space="preserve">5%</w:t>
            </w:r>
          </w:p>
        </w:tc>
      </w:tr>
      <w:tr>
        <w:tc>
          <w:tcPr>
            <w:tcW w:type="dxa" w:w="468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sz w:val="20"/>
                <w:szCs w:val="20"/>
              </w:rPr>
              <w:t xml:space="preserve">ROI vs prospection manuelle</w:t>
            </w:r>
          </w:p>
        </w:tc>
        <w:tc>
          <w:tcPr>
            <w:tcW w:type="dxa" w:w="468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jc w:val="center"/>
            </w:pPr>
            <w:r>
              <w:rPr>
                <w:rFonts w:ascii="Arial" w:cs="Arial" w:eastAsia="Arial" w:hAnsi="Arial"/>
                <w:b/>
                <w:bCs/>
                <w:color w:val="E8630A"/>
                <w:sz w:val="20"/>
                <w:szCs w:val="20"/>
              </w:rPr>
              <w:t xml:space="preserve">10x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Delai de production d'un pack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E8630A"/>
                <w:sz w:val="20"/>
                <w:szCs w:val="20"/>
              </w:rPr>
              <w:t xml:space="preserve">&lt; 3 minutes par prospect</w:t>
            </w:r>
          </w:p>
        </w:tc>
      </w:tr>
    </w:tbl>
    <w:p>
      <w:pPr>
        <w:spacing w:after="200" w:before="0"/>
      </w:pPr>
      <w:r>
        <w:t xml:space="preserve"/>
      </w:r>
    </w:p>
    <w:p>
      <w:pPr>
        <w:pStyle w:val="Heading1"/>
      </w:pPr>
      <w:r>
        <w:rPr>
          <w:rFonts w:ascii="Arial" w:cs="Arial" w:eastAsia="Arial" w:hAnsi="Arial"/>
          <w:b/>
          <w:bCs/>
          <w:color w:val="E8630A"/>
          <w:sz w:val="32"/>
          <w:szCs w:val="32"/>
        </w:rPr>
        <w:t xml:space="preserve">6. Etat d'Avancement au 31 Mai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Livrable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6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2"/>
                <w:szCs w:val="22"/>
              </w:rPr>
              <w:t xml:space="preserve">Workflow V2 (Modele de base)</w:t>
            </w:r>
          </w:p>
        </w:tc>
        <w:tc>
          <w:tcPr>
            <w:tcW w:type="dxa" w:w="2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Complete</w:t>
            </w:r>
          </w:p>
        </w:tc>
      </w:tr>
      <w:tr>
        <w:tc>
          <w:tcPr>
            <w:tcW w:type="dxa" w:w="6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2"/>
                <w:szCs w:val="22"/>
              </w:rPr>
              <w:t xml:space="preserve">Workflow V3 (CRM Enhancement — 44 noeuds)</w:t>
            </w:r>
          </w:p>
        </w:tc>
        <w:tc>
          <w:tcPr>
            <w:tcW w:type="dxa" w:w="2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Complete</w:t>
            </w:r>
          </w:p>
        </w:tc>
      </w:tr>
      <w:tr>
        <w:tc>
          <w:tcPr>
            <w:tcW w:type="dxa" w:w="6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2"/>
                <w:szCs w:val="22"/>
              </w:rPr>
              <w:t xml:space="preserve">Workflow V4 (Batch automatique 5/jour)</w:t>
            </w:r>
          </w:p>
        </w:tc>
        <w:tc>
          <w:tcPr>
            <w:tcW w:type="dxa" w:w="2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Complete</w:t>
            </w:r>
          </w:p>
        </w:tc>
      </w:tr>
      <w:tr>
        <w:tc>
          <w:tcPr>
            <w:tcW w:type="dxa" w:w="6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2"/>
                <w:szCs w:val="22"/>
              </w:rPr>
              <w:t xml:space="preserve">CRM 200 prospects CI (Tier 1/2/3)</w:t>
            </w:r>
          </w:p>
        </w:tc>
        <w:tc>
          <w:tcPr>
            <w:tcW w:type="dxa" w:w="2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Complete</w:t>
            </w:r>
          </w:p>
        </w:tc>
      </w:tr>
      <w:tr>
        <w:tc>
          <w:tcPr>
            <w:tcW w:type="dxa" w:w="6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2"/>
                <w:szCs w:val="22"/>
              </w:rPr>
              <w:t xml:space="preserve">Guide installation V3 (noeud par noeud)</w:t>
            </w:r>
          </w:p>
        </w:tc>
        <w:tc>
          <w:tcPr>
            <w:tcW w:type="dxa" w:w="28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2"/>
                <w:szCs w:val="22"/>
              </w:rPr>
              <w:t xml:space="preserve">Complete</w:t>
            </w:r>
          </w:p>
        </w:tc>
      </w:tr>
      <w:tr>
        <w:tc>
          <w:tcPr>
            <w:tcW w:type="dxa" w:w="6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2"/>
                <w:szCs w:val="22"/>
              </w:rPr>
              <w:t xml:space="preserve">Tests &amp; Validation flux approbation</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sz w:val="22"/>
                <w:szCs w:val="22"/>
              </w:rPr>
              <w:t xml:space="preserve">En cours</w:t>
            </w:r>
          </w:p>
        </w:tc>
      </w:tr>
      <w:tr>
        <w:tc>
          <w:tcPr>
            <w:tcW w:type="dxa" w:w="650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r>
              <w:rPr>
                <w:rFonts w:ascii="Arial" w:cs="Arial" w:eastAsia="Arial" w:hAnsi="Arial"/>
                <w:sz w:val="22"/>
                <w:szCs w:val="22"/>
              </w:rPr>
              <w:t xml:space="preserve">Insertion prospects dans Supabase</w:t>
            </w:r>
          </w:p>
        </w:tc>
        <w:tc>
          <w:tcPr>
            <w:tcW w:type="dxa" w:w="2860"/>
            <w:tcBorders>
              <w:top w:val="single" w:color="CCCCCC" w:sz="1"/>
              <w:left w:val="single" w:color="CCCCCC" w:sz="1"/>
              <w:bottom w:val="single" w:color="CCCCCC" w:sz="1"/>
              <w:right w:val="single" w:color="CCCCCC" w:sz="1"/>
            </w:tcBorders>
            <w:shd w:fill="FEF0E7" w:val="clear"/>
            <w:tcMar>
              <w:top w:type="dxa" w:w="80"/>
              <w:left w:type="dxa" w:w="120"/>
              <w:bottom w:type="dxa" w:w="80"/>
              <w:right w:type="dxa" w:w="120"/>
            </w:tcMar>
          </w:tcPr>
          <w:p>
            <w:pPr>
              <w:jc w:val="center"/>
            </w:pPr>
            <w:r>
              <w:rPr>
                <w:rFonts w:ascii="Arial" w:cs="Arial" w:eastAsia="Arial" w:hAnsi="Arial"/>
                <w:b/>
                <w:bCs/>
                <w:sz w:val="22"/>
                <w:szCs w:val="22"/>
              </w:rPr>
              <w:t xml:space="preserve">En attente</w:t>
            </w:r>
          </w:p>
        </w:tc>
      </w:tr>
      <w:tr>
        <w:tc>
          <w:tcPr>
            <w:tcW w:type="dxa" w:w="6500"/>
            <w:tcBorders>
              <w:top w:val="single" w:color="CCCCCC" w:sz="1"/>
              <w:left w:val="single" w:color="CCCCCC" w:sz="1"/>
              <w:bottom w:val="single" w:color="CCCCCC" w:sz="1"/>
              <w:right w:val="single" w:color="CCCCCC" w:sz="1"/>
            </w:tcBorders>
            <w:shd w:fill="FFF9E7" w:val="clear"/>
            <w:tcMar>
              <w:top w:type="dxa" w:w="80"/>
              <w:left w:type="dxa" w:w="120"/>
              <w:bottom w:type="dxa" w:w="80"/>
              <w:right w:type="dxa" w:w="120"/>
            </w:tcMar>
          </w:tcPr>
          <w:p>
            <w:r>
              <w:rPr>
                <w:rFonts w:ascii="Arial" w:cs="Arial" w:eastAsia="Arial" w:hAnsi="Arial"/>
                <w:sz w:val="22"/>
                <w:szCs w:val="22"/>
              </w:rPr>
              <w:t xml:space="preserve">Deploiement production (V4 actif)</w:t>
            </w:r>
          </w:p>
        </w:tc>
        <w:tc>
          <w:tcPr>
            <w:tcW w:type="dxa" w:w="2860"/>
            <w:tcBorders>
              <w:top w:val="single" w:color="CCCCCC" w:sz="1"/>
              <w:left w:val="single" w:color="CCCCCC" w:sz="1"/>
              <w:bottom w:val="single" w:color="CCCCCC" w:sz="1"/>
              <w:right w:val="single" w:color="CCCCCC" w:sz="1"/>
            </w:tcBorders>
            <w:shd w:fill="FFF9E7" w:val="clear"/>
            <w:tcMar>
              <w:top w:type="dxa" w:w="80"/>
              <w:left w:type="dxa" w:w="120"/>
              <w:bottom w:type="dxa" w:w="80"/>
              <w:right w:type="dxa" w:w="120"/>
            </w:tcMar>
          </w:tcPr>
          <w:p>
            <w:pPr>
              <w:jc w:val="center"/>
            </w:pPr>
            <w:r>
              <w:rPr>
                <w:rFonts w:ascii="Arial" w:cs="Arial" w:eastAsia="Arial" w:hAnsi="Arial"/>
                <w:b/>
                <w:bCs/>
                <w:sz w:val="22"/>
                <w:szCs w:val="22"/>
              </w:rPr>
              <w:t xml:space="preserve">A venir</w:t>
            </w:r>
          </w:p>
        </w:tc>
      </w:tr>
    </w:tbl>
    <w:p>
      <w:pPr>
        <w:spacing w:after="200" w:before="0"/>
      </w:pPr>
      <w:r>
        <w:t xml:space="preserve"/>
      </w:r>
    </w:p>
    <w:p>
      <w:pPr>
        <w:pStyle w:val="Heading1"/>
      </w:pPr>
      <w:r>
        <w:rPr>
          <w:rFonts w:ascii="Arial" w:cs="Arial" w:eastAsia="Arial" w:hAnsi="Arial"/>
          <w:b/>
          <w:bCs/>
          <w:color w:val="E8630A"/>
          <w:sz w:val="32"/>
          <w:szCs w:val="32"/>
        </w:rPr>
        <w:t xml:space="preserve">7. Prochaines Etapes</w:t>
      </w:r>
    </w:p>
    <w:p>
      <w:pPr>
        <w:pStyle w:val="ListParagraph"/>
        <w:numPr>
          <w:ilvl w:val="0"/>
          <w:numId w:val="3"/>
        </w:numPr>
        <w:spacing w:after="40" w:before="40"/>
      </w:pPr>
      <w:r>
        <w:rPr>
          <w:rFonts w:ascii="Arial" w:cs="Arial" w:eastAsia="Arial" w:hAnsi="Arial"/>
          <w:sz w:val="22"/>
          <w:szCs w:val="22"/>
        </w:rPr>
        <w:t xml:space="preserve">Finaliser les tests du workflow V3 (cette semaine)</w:t>
      </w:r>
    </w:p>
    <w:p>
      <w:pPr>
        <w:pStyle w:val="ListParagraph"/>
        <w:numPr>
          <w:ilvl w:val="0"/>
          <w:numId w:val="3"/>
        </w:numPr>
        <w:spacing w:after="40" w:before="40"/>
      </w:pPr>
      <w:r>
        <w:rPr>
          <w:rFonts w:ascii="Arial" w:cs="Arial" w:eastAsia="Arial" w:hAnsi="Arial"/>
          <w:sz w:val="22"/>
          <w:szCs w:val="22"/>
        </w:rPr>
        <w:t xml:space="preserve">Inserer les 200 prospects dans Supabase via script SQL</w:t>
      </w:r>
    </w:p>
    <w:p>
      <w:pPr>
        <w:pStyle w:val="ListParagraph"/>
        <w:numPr>
          <w:ilvl w:val="0"/>
          <w:numId w:val="3"/>
        </w:numPr>
        <w:spacing w:after="40" w:before="40"/>
      </w:pPr>
      <w:r>
        <w:rPr>
          <w:rFonts w:ascii="Arial" w:cs="Arial" w:eastAsia="Arial" w:hAnsi="Arial"/>
          <w:sz w:val="22"/>
          <w:szCs w:val="22"/>
        </w:rPr>
        <w:t xml:space="preserve">Activer le batch V4 (cron lundi-vendredi 9h00)</w:t>
      </w:r>
    </w:p>
    <w:p>
      <w:pPr>
        <w:pStyle w:val="ListParagraph"/>
        <w:numPr>
          <w:ilvl w:val="0"/>
          <w:numId w:val="3"/>
        </w:numPr>
        <w:spacing w:after="40" w:before="40"/>
      </w:pPr>
      <w:r>
        <w:rPr>
          <w:rFonts w:ascii="Arial" w:cs="Arial" w:eastAsia="Arial" w:hAnsi="Arial"/>
          <w:sz w:val="22"/>
          <w:szCs w:val="22"/>
        </w:rPr>
        <w:t xml:space="preserve">Lancer la premiere campagne de prospection reelle</w:t>
      </w:r>
    </w:p>
    <w:p>
      <w:pPr>
        <w:pStyle w:val="ListParagraph"/>
        <w:numPr>
          <w:ilvl w:val="0"/>
          <w:numId w:val="3"/>
        </w:numPr>
        <w:spacing w:after="40" w:before="40"/>
      </w:pPr>
      <w:r>
        <w:rPr>
          <w:rFonts w:ascii="Arial" w:cs="Arial" w:eastAsia="Arial" w:hAnsi="Arial"/>
          <w:sz w:val="22"/>
          <w:szCs w:val="22"/>
        </w:rPr>
        <w:t xml:space="preserve">Analyser les resultats apres 30 jours (taux ouverture, reponse, RDV)</w:t>
      </w:r>
    </w:p>
    <w:p>
      <w:r>
        <w:br w:type="page"/>
      </w:r>
    </w:p>
    <w:p>
      <w:pPr>
        <w:spacing w:after="40" w:before="0"/>
        <w:jc w:val="center"/>
      </w:pPr>
      <w:r>
        <w:rPr>
          <w:rFonts w:ascii="Arial" w:cs="Arial" w:eastAsia="Arial" w:hAnsi="Arial"/>
          <w:b w:val="false"/>
          <w:bCs w:val="false"/>
          <w:color w:val="AAAAAA"/>
          <w:sz w:val="22"/>
          <w:szCs w:val="22"/>
        </w:rPr>
        <w:t xml:space="preserve">PARTIE 2</w:t>
      </w:r>
    </w:p>
    <w:p>
      <w:pPr>
        <w:pStyle w:val="Heading1"/>
      </w:pPr>
      <w:r>
        <w:rPr>
          <w:rFonts w:ascii="Arial" w:cs="Arial" w:eastAsia="Arial" w:hAnsi="Arial"/>
          <w:b/>
          <w:bCs/>
          <w:color w:val="E8630A"/>
          <w:sz w:val="36"/>
          <w:szCs w:val="36"/>
        </w:rPr>
        <w:t xml:space="preserve">Guide Technique — Flux Approbation V3</w:t>
      </w:r>
    </w:p>
    <w:p>
      <w:pPr>
        <w:pBdr>
          <w:bottom w:val="single" w:color="E8630A" w:sz="6" w:space="1"/>
        </w:pBdr>
        <w:spacing w:after="120" w:before="0"/>
      </w:pPr>
      <w:r>
        <w:t xml:space="preserve"/>
      </w:r>
    </w:p>
    <w:p>
      <w:pPr>
        <w:spacing w:after="100" w:before="0"/>
      </w:pPr>
      <w:r>
        <w:t xml:space="preserve"/>
      </w:r>
    </w:p>
    <w:p>
      <w:pPr>
        <w:pStyle w:val="Heading2"/>
      </w:pPr>
      <w:r>
        <w:rPr>
          <w:rFonts w:ascii="Arial" w:cs="Arial" w:eastAsia="Arial" w:hAnsi="Arial"/>
          <w:b/>
          <w:bCs/>
          <w:color w:val="1F3864"/>
          <w:sz w:val="26"/>
          <w:szCs w:val="26"/>
        </w:rPr>
        <w:t xml:space="preserve">Role de chaque noeud — Partie 2 du Workflow</w:t>
      </w:r>
    </w:p>
    <w:p>
      <w:pPr>
        <w:spacing w:after="60" w:before="60"/>
      </w:pPr>
      <w:r>
        <w:rPr>
          <w:rFonts w:ascii="Arial" w:cs="Arial" w:eastAsia="Arial" w:hAnsi="Arial"/>
          <w:sz w:val="22"/>
          <w:szCs w:val="22"/>
        </w:rPr>
        <w:t xml:space="preserve">La deuxieme partie du workflow V3 est declenchee apres que le fondateur recoit un email d'approbation genere par la Partie 1. Elle gere toute la logique de decision: approuver ou rejeter l'envoi d'un email commercial a un prospect. Voici le role exact de chaque noeud.</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4"/>
              <w:left w:val="single" w:color="E8630A" w:sz="4"/>
              <w:bottom w:val="single" w:color="E8630A" w:sz="4"/>
              <w:right w:val="single" w:color="E8630A" w:sz="4"/>
            </w:tcBorders>
            <w:shd w:fill="F8F9FA" w:val="clear"/>
            <w:tcMar>
              <w:top w:type="dxa" w:w="160"/>
              <w:left w:type="dxa" w:w="200"/>
              <w:bottom w:type="dxa" w:w="160"/>
              <w:right w:type="dxa" w:w="200"/>
            </w:tcMar>
          </w:tcPr>
          <w:p>
            <w:pPr>
              <w:jc w:val="center"/>
            </w:pPr>
            <w:r>
              <w:rPr>
                <w:rFonts w:ascii="Arial" w:cs="Arial" w:eastAsia="Arial" w:hAnsi="Arial"/>
                <w:b/>
                <w:bCs/>
                <w:color w:val="E8630A"/>
                <w:sz w:val="20"/>
                <w:szCs w:val="20"/>
              </w:rPr>
              <w:t xml:space="preserve">SCHEMA DU FLUX D'APPROBATION</w:t>
            </w:r>
          </w:p>
          <w:p>
            <w:pPr>
              <w:spacing w:after="100" w:before="0"/>
            </w:pPr>
            <w:r>
              <w:t xml:space="preserve"/>
            </w:r>
          </w:p>
          <w:p>
            <w:pPr>
              <w:jc w:val="center"/>
            </w:pPr>
            <w:r>
              <w:rPr>
                <w:rFonts w:ascii="Courier New" w:cs="Courier New" w:eastAsia="Courier New" w:hAnsi="Courier New"/>
                <w:color w:val="1F3864"/>
                <w:sz w:val="18"/>
                <w:szCs w:val="18"/>
              </w:rPr>
              <w:t xml:space="preserve">[1] Approval Webhook  --&gt;  [2] Parse Query  --&gt;  [3] Get Pack Supabase  --&gt;  [4] Extract Payload</w:t>
            </w:r>
          </w:p>
          <w:p>
            <w:pPr>
              <w:jc w:val="center"/>
            </w:pPr>
            <w:r>
              <w:rPr>
                <w:rFonts w:ascii="Courier New" w:cs="Courier New" w:eastAsia="Courier New" w:hAnsi="Courier New"/>
                <w:color w:val="1F3864"/>
                <w:sz w:val="18"/>
                <w:szCs w:val="18"/>
              </w:rPr>
              <w:t xml:space="preserve">                                          --&gt; [5] If Approved</w:t>
            </w:r>
          </w:p>
          <w:p>
            <w:pPr>
              <w:jc w:val="center"/>
            </w:pPr>
            <w:r>
              <w:rPr>
                <w:rFonts w:ascii="Courier New" w:cs="Courier New" w:eastAsia="Courier New" w:hAnsi="Courier New"/>
                <w:color w:val="1F3864"/>
                <w:sz w:val="18"/>
                <w:szCs w:val="18"/>
              </w:rPr>
              <w:t xml:space="preserve">                                TRUE  /                    \  FALSE</w:t>
            </w:r>
          </w:p>
          <w:p>
            <w:pPr>
              <w:jc w:val="center"/>
            </w:pPr>
            <w:r>
              <w:rPr>
                <w:rFonts w:ascii="Courier New" w:cs="Courier New" w:eastAsia="Courier New" w:hAnsi="Courier New"/>
                <w:color w:val="1F3864"/>
                <w:sz w:val="18"/>
                <w:szCs w:val="18"/>
              </w:rPr>
              <w:t xml:space="preserve">             [6] Build Context --&gt; [7] If Ready To Send       [R1] Mark Rejected</w:t>
            </w:r>
          </w:p>
          <w:p>
            <w:pPr>
              <w:jc w:val="center"/>
            </w:pPr>
            <w:r>
              <w:rPr>
                <w:rFonts w:ascii="Courier New" w:cs="Courier New" w:eastAsia="Courier New" w:hAnsi="Courier New"/>
                <w:color w:val="1F3864"/>
                <w:sz w:val="18"/>
                <w:szCs w:val="18"/>
              </w:rPr>
              <w:t xml:space="preserve">                          TRUE /          \ FALSE               [R2] Update Target</w:t>
            </w:r>
          </w:p>
          <w:p>
            <w:pPr>
              <w:jc w:val="center"/>
            </w:pPr>
            <w:r>
              <w:rPr>
                <w:rFonts w:ascii="Courier New" w:cs="Courier New" w:eastAsia="Courier New" w:hAnsi="Courier New"/>
                <w:color w:val="1F3864"/>
                <w:sz w:val="18"/>
                <w:szCs w:val="18"/>
              </w:rPr>
              <w:t xml:space="preserve">    [8] Mark Approved --&gt; [9] Send Email  [Error Branch]</w:t>
            </w:r>
          </w:p>
          <w:p>
            <w:pPr>
              <w:jc w:val="center"/>
            </w:pPr>
            <w:r>
              <w:rPr>
                <w:rFonts w:ascii="Courier New" w:cs="Courier New" w:eastAsia="Courier New" w:hAnsi="Courier New"/>
                <w:color w:val="1F3864"/>
                <w:sz w:val="18"/>
                <w:szCs w:val="18"/>
              </w:rPr>
              <w:t xml:space="preserve">     --&gt; [10] Parse Result --&gt; [11] Mark Sent --&gt; [12] Log --&gt; [13] Notify Founder</w:t>
            </w:r>
          </w:p>
        </w:tc>
      </w:tr>
    </w:tbl>
    <w:p>
      <w:pPr>
        <w:spacing w:after="300" w:before="0"/>
      </w:pPr>
      <w:r>
        <w:t xml:space="preserve"/>
      </w:r>
    </w:p>
    <w:p>
      <w:pPr>
        <w:pStyle w:val="Heading2"/>
      </w:pPr>
      <w:r>
        <w:rPr>
          <w:rFonts w:ascii="Arial" w:cs="Arial" w:eastAsia="Arial" w:hAnsi="Arial"/>
          <w:b/>
          <w:bCs/>
          <w:color w:val="1F3864"/>
          <w:sz w:val="26"/>
          <w:szCs w:val="26"/>
        </w:rPr>
        <w:t xml:space="preserve">Branche Principale — Approbation &amp; Envoi</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Noeud 1 — Approval Webhook</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Webhook (GET)</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Point d'entree du flux d'approbation. Declenche quand le fondateur clique sur le lien d'approbation dans son email. Recoit les parametres: approved (true/false), prospect_id, pack_id, organization_name, target_email. Repond immediatement avec HTTP 200 sans bloquer le navigateur pendant l'execution du workflow.</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Clic sur lien dans email d'approbation — Query params: approved, prospect_id, pack_id, target_email, organization_name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Parametres de decision normalises — Reponse HTTP 200 immediate au navigateur</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Noeud 2 — Parse Approval Query</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Code JavaScript</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Transforme les parametres bruts de l'URL en objet JSON structure et type. Normalise le champ "approved" (string "true" vers boolean true). Produit le champ "decision" avec valeur "approved" ou "rejected" pour les noeuds suivants. Assure la compatibilite de type pour le noeud If Approved.</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Query string brut du webhook (tous les champs en string)</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 approved: boolean, decision: "approved"|"rejected", prospect_id, pack_id, organization_name, target_email }</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Noeud 3 — Get Pack From Supabase</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HTTP Request (GET)</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Recupere depuis la base de donnees Supabase le pack commercial complet genere par la Partie 1 du workflow. Identifie par prospect_id. Contient: lettre executive HTML, catalogue produits, audit ROI, informations de l'entreprise. Option Never Error activee pour ne pas bloquer le flux si le pack est introuvable.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prospect_id depuis Parse Approval Query — Headers Supabase (apikey, Authorization)</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Donnees completes du pack depuis la table ai_prospecting_packs (tableau JSON)</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Noeud 4 — Extract Pack Payload</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Code JavaScript</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Decompresse et restructure les donnees Supabase (imbriquees dans un champ payload JSON). Fusionne les donnees du pack avec la decision du fondateur. Gere le cas ou aucun pack n'est trouve (retourne erreur pack_not_found). Garantit que tous les champs necessaires sont disponibles pour la suite.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Reponse Supabase (tableau) + decision depuis Parse Approval Query</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Objet unifie: toutes donnees pack + approved + decision + target_email + organization_name</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Noeud 5 — If Approved</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IF (condition)</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Aiguilleur central du flux. Compare le champ "decision" a la valeur string "approved". Si approuve: branche vraie vers Build Send Context. Si rejete: branche fausse vers Mark Pack Rejected. C'est la porte de controle humain — aucun email ne part sans que le fondateur ait approuve.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 decision: "approved" | "rejected" }</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Output TRUE: vers Build Send Context (envoi) — Output FALSE: vers Mark Pack Rejected (abandon)</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Noeud 6 — Build Send Context</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Code JavaScript</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Verifie que toutes les conditions techniques sont reunies pour envoyer l'email. Controle la presence d'un email cible valide et d'un contenu de lettre executive non vide. Produit le flag can_send (boolean) et un message d'erreur explicite si l'envoi est impossible. Second niveau de securite apres l'approbation humaine.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Donnees du pack approuve (target_email, executive_letter)</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 ...pack, can_send: true/false, send_failure_reason: string ou null }</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Noeud 7 — If Ready To Send</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IF (condition)</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Deuxieme filtre de securite technique. Verifie que can_send est true avant tout envoi. Protege contre les cas ou un pack approuve aurait un email manquant ou un contenu vide (erreur de generation IA). Empeche l'envoi d'un email vide ou incomplet au prospect — protege la reputation de l'expediteur.</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 can_send: "true" ou "false" (String) }</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Output TRUE: vers Mark Pack Approved (envoi autorise) — Output FALSE: vers Mark Pack Approval Error (blocage)</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Noeud 8 — Mark Pack Approved</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HTTP Request (PATCH Supabase)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Enregistre formellement l'approbation dans la base de donnees avant l'envoi. Met a jour le statut du pack a "approved" avec horodatage. Cree une trace audit immuable. Permet de suivre tous les packs approuves vs rejetes dans le dashboard Supabase. Table: ai_prospecting_packs.</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pack_id — Body: { status: "approved", approved_at: ISO timestamp }</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Pack mis a jour en Supabase avec statut "approved"</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Noeud 9 — Send External Prospect Email</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HTTP Request (POST Resend API)</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NOEUD LE PLUS CRITIQUE. Envoie l'email commercial au decideur de l'entreprise prospect via Resend API. L'email contient la lettre executive ultra-personnalisee generee par l'IA, adaptee specifiquement aux besoins de cette entreprise. C'est ici que la vraie prospection commerciale se concretise.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 from: onboarding@resend.dev, to: [target_email], subject, html: executive_letter_html }</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 id: resend_message_id } — Preuve d'envoi avec identifiant unique</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Noeud 10 — Parse Send Result</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Code JavaScript</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Analyse la reponse de Resend API pour confirmer le succes de l'envoi. Extrait le resend_id (identifiant unique de l'email, utilisable pour tracking et delivrabilite). Fusionne le resultat d'envoi avec le contexte complet du pack pour les noeuds suivants. Inclut l'horodatage d'envoi.</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Reponse Resend API + contexte Build Send Context</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 resend_id, sent_at, ...contexte complet du pack et du prospect }</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Noeud 11 — Mark Pack Sent</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HTTP Request (PATCH Supabase)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Finalise le cycle de vie du pack dans la base de donnees. Met a jour le statut a "sent" avec horodatage d'envoi et resend_message_id pour traçabilite complete. Garantit qu'un meme pack ne sera jamais envoye deux fois au meme prospect. Table: ai_prospecting_packs.</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pack_id, sent_at, resend_message_id</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Pack finalise en Supabase avec statut "sent" et preuve d'envoi Resend</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Noeud 12 — Log Outreach Attempt</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HTTP Request (POST Supabase)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Alimente le journal de prospection (table outreach_attempts). Enregistre chaque tentative de contact: prospect_id, pack_id, canal email, date d'envoi, statut "sent". Ce log est la matiere premiere pour analyser les performances: emails envoyes par semaine, par secteur d'activite, par tier commercial.</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prospect_id, pack_id, channel: "email", sent_at, status: "sent"</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Entree creee en Supabase dans outreach_attempts — Disponible pour dashboard analytique</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Noeud 13 — Send Internal Sent Confirmation</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HTTP Request (POST Resend API)</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Notifie le fondateur (contact@transferai.ci) que l'email a bien ete envoye au prospect. Email de confirmation contenant: nom de l'organisation contactee, adresse email du destinataire, ID Resend pour verification de delivrabilite. Permet un suivi en temps reel sans consulter n8n manuellement.</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organization_name, target_email, resend_id</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Email de confirmation envoye au fondateur — Sujet: "Email envoye — [Organisation]"</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CCCCC" w:val="clear"/>
            <w:tcMar>
              <w:top w:type="dxa" w:w="100"/>
              <w:left w:type="dxa" w:w="180"/>
              <w:bottom w:type="dxa" w:w="100"/>
              <w:right w:type="dxa" w:w="120"/>
            </w:tcMar>
          </w:tcPr>
          <w:p>
            <w:r>
              <w:rPr>
                <w:rFonts w:ascii="Arial" w:cs="Arial" w:eastAsia="Arial" w:hAnsi="Arial"/>
                <w:b/>
                <w:bCs/>
                <w:color w:val="FFFFFF"/>
                <w:sz w:val="24"/>
                <w:szCs w:val="24"/>
              </w:rPr>
              <w:t xml:space="preserve">Noeud N14 — [SUPPRIME] Approval Success Response</w:t>
            </w:r>
          </w:p>
        </w:tc>
      </w:tr>
      <w:tr>
        <w:tc>
          <w:tcPr>
            <w:tcW w:type="dxa" w:w="9360"/>
            <w:tcBorders>
              <w:top w:val="single" w:color="CCCCCC" w:sz="1"/>
              <w:left w:val="single" w:color="CCCCCC" w:sz="1"/>
              <w:bottom w:val="single" w:color="CCCCCC" w:sz="1"/>
              <w:right w:val="single" w:color="CCCCCC" w:sz="1"/>
            </w:tcBorders>
            <w:shd w:fill="F5F5F5"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Respond to Webhook — SUPPRIME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Noeud orphelin supprime. Le webhook Approval Webhook etant configure en mode "Immediately", la reponse HTTP 200 est envoyee automatiquement des la reception de la requete, sans attendre la fin du workflow. Ce noeud causait l'erreur 500 "Unused Respond to Webhook node found in the workflow".</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N/A — Noeud supprime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N/A — Remplace par le mode "Immediately" du webhook</w:t>
                  </w:r>
                </w:p>
              </w:tc>
            </w:tr>
          </w:tbl>
          <w:p/>
        </w:tc>
      </w:tr>
    </w:tbl>
    <w:p>
      <w:pPr>
        <w:spacing w:after="300" w:before="0"/>
      </w:pPr>
      <w:r>
        <w:t xml:space="preserve"/>
      </w:r>
    </w:p>
    <w:p>
      <w:pPr>
        <w:pStyle w:val="Heading2"/>
      </w:pPr>
      <w:r>
        <w:rPr>
          <w:rFonts w:ascii="Arial" w:cs="Arial" w:eastAsia="Arial" w:hAnsi="Arial"/>
          <w:b/>
          <w:bCs/>
          <w:color w:val="1F3864"/>
          <w:sz w:val="26"/>
          <w:szCs w:val="26"/>
        </w:rPr>
        <w:t xml:space="preserve">Branche Rejet — Abandon &amp; CRM Update</w:t>
      </w:r>
    </w:p>
    <w:p>
      <w:pPr>
        <w:spacing w:after="100" w:before="0"/>
      </w:pPr>
      <w:r>
        <w:t xml:space="preserve"/>
      </w:r>
    </w:p>
    <w:p>
      <w:pPr>
        <w:spacing w:after="60" w:before="60"/>
      </w:pPr>
      <w:r>
        <w:rPr>
          <w:rFonts w:ascii="Arial" w:cs="Arial" w:eastAsia="Arial" w:hAnsi="Arial"/>
          <w:sz w:val="22"/>
          <w:szCs w:val="22"/>
        </w:rPr>
        <w:t xml:space="preserve">Declenchee quand le fondateur clique sur "Rejeter" dans l'email d'approbation (approved=false). Le pack est archive, le prospect est remis en disponible pour un prochain cycle.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Noeud R1 — Mark Pack Rejected</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HTTP Request (PATCH Supabase)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Archive le pack avec le statut "rejected" dans la table ai_prospecting_packs. Enregistre l'horodatage du rejet. Le contenu du pack est conserve pour reference future — il pourra etre modifie et renvoye pour approbation lors d'un prochain cycle de prospection.</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pack_id — Body: { status: "rejected", rejected_at: ISO timestamp }</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Pack archive en Supabase avec statut "rejected" — Contenu preserve pour reutilisation</w:t>
                  </w:r>
                </w:p>
              </w:tc>
            </w:tr>
          </w:tbl>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630A" w:val="clear"/>
            <w:tcMar>
              <w:top w:type="dxa" w:w="100"/>
              <w:left w:type="dxa" w:w="180"/>
              <w:bottom w:type="dxa" w:w="100"/>
              <w:right w:type="dxa" w:w="120"/>
            </w:tcMar>
          </w:tcPr>
          <w:p>
            <w:r>
              <w:rPr>
                <w:rFonts w:ascii="Arial" w:cs="Arial" w:eastAsia="Arial" w:hAnsi="Arial"/>
                <w:b/>
                <w:bCs/>
                <w:color w:val="FFFFFF"/>
                <w:sz w:val="24"/>
                <w:szCs w:val="24"/>
              </w:rPr>
              <w:t xml:space="preserve">Noeud R2 — Update Prospect Target Rejected</w:t>
            </w:r>
          </w:p>
        </w:tc>
      </w:tr>
      <w:tr>
        <w:tc>
          <w:tcPr>
            <w:tcW w:type="dxa" w:w="9360"/>
            <w:tcBorders>
              <w:top w:val="single" w:color="CCCCCC" w:sz="1"/>
              <w:left w:val="single" w:color="CCCCCC" w:sz="1"/>
              <w:bottom w:val="single" w:color="CCCCCC" w:sz="1"/>
              <w:right w:val="single" w:color="CCCCCC" w:sz="1"/>
            </w:tcBorders>
            <w:shd w:fill="FFFDF9"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Type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HTTP Request (PATCH Supabase)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Role</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Remet le prospect dans l'etat "ready" dans la table prospect_targets du CRM. Le prospect sera ainsi eligible pour etre reprospecte lors d'un prochain batch V4. Met a jour niche_status a "needs_manual_revision" pour signaler qu'une revision manuelle est necessaire avant le prochain cycle.</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Input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prospect_id — Body: { status: "ready", last_sequence_result: "rejected_internal_v3", niche_status: "needs_manual_revision" }</w:t>
                  </w:r>
                </w:p>
              </w:tc>
            </w:tr>
            <w:tr>
              <w:tc>
                <w:tcPr>
                  <w:tcW w:type="dxa" w:w="1800"/>
                  <w:tcBorders>
                    <w:top w:val="single" w:color="CCCCCC" w:sz="1"/>
                    <w:left w:val="single" w:color="CCCCCC" w:sz="1"/>
                    <w:bottom w:val="single" w:color="CCCCCC" w:sz="1"/>
                    <w:right w:val="single" w:color="CCCCCC" w:sz="1"/>
                  </w:tcBorders>
                  <w:shd w:fill="EAF4FB" w:val="clear"/>
                  <w:tcMar>
                    <w:top w:type="dxa" w:w="60"/>
                    <w:left w:type="dxa" w:w="100"/>
                    <w:bottom w:type="dxa" w:w="60"/>
                    <w:right w:type="dxa" w:w="100"/>
                  </w:tcMar>
                </w:tcPr>
                <w:p>
                  <w:r>
                    <w:rPr>
                      <w:rFonts w:ascii="Arial" w:cs="Arial" w:eastAsia="Arial" w:hAnsi="Arial"/>
                      <w:b/>
                      <w:bCs/>
                      <w:color w:val="1F3864"/>
                      <w:sz w:val="20"/>
                      <w:szCs w:val="20"/>
                    </w:rPr>
                    <w:t xml:space="preserve">Output</w:t>
                  </w:r>
                </w:p>
              </w:tc>
              <w:tc>
                <w:tcPr>
                  <w:tcW w:type="dxa" w:w="7560"/>
                  <w:tcBorders>
                    <w:top w:val="single" w:color="CCCCCC" w:sz="1"/>
                    <w:left w:val="single" w:color="CCCCCC" w:sz="1"/>
                    <w:bottom w:val="single" w:color="CCCCCC" w:sz="1"/>
                    <w:right w:val="single" w:color="CCCCCC" w:sz="1"/>
                  </w:tcBorders>
                  <w:shd w:fill="FFFDF9" w:val="clear"/>
                  <w:tcMar>
                    <w:top w:type="dxa" w:w="60"/>
                    <w:left w:type="dxa" w:w="100"/>
                    <w:bottom w:type="dxa" w:w="60"/>
                    <w:right w:type="dxa" w:w="100"/>
                  </w:tcMar>
                </w:tcPr>
                <w:p>
                  <w:r>
                    <w:rPr>
                      <w:rFonts w:ascii="Arial" w:cs="Arial" w:eastAsia="Arial" w:hAnsi="Arial"/>
                      <w:sz w:val="20"/>
                      <w:szCs w:val="20"/>
                    </w:rPr>
                    <w:t xml:space="preserve">Prospect remis disponible en Supabase — Eligible pour prochain batch V4</w:t>
                  </w:r>
                </w:p>
              </w:tc>
            </w:tr>
          </w:tbl>
          <w:p/>
        </w:tc>
      </w:tr>
    </w:tbl>
    <w:p>
      <w:pPr>
        <w:spacing w:after="300" w:before="0"/>
      </w:pPr>
      <w:r>
        <w:t xml:space="preserve"/>
      </w:r>
    </w:p>
    <w:p>
      <w:pPr>
        <w:pStyle w:val="Heading2"/>
      </w:pPr>
      <w:r>
        <w:rPr>
          <w:rFonts w:ascii="Arial" w:cs="Arial" w:eastAsia="Arial" w:hAnsi="Arial"/>
          <w:b/>
          <w:bCs/>
          <w:color w:val="1F3864"/>
          <w:sz w:val="26"/>
          <w:szCs w:val="26"/>
        </w:rPr>
        <w:t xml:space="preserve">Tableau Recapitulatif — Tous les Noeuds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500"/>
        <w:gridCol w:w="2060"/>
        <w:gridCol w:w="1500"/>
      </w:tblGrid>
      <w:tr>
        <w:tc>
          <w:tcPr>
            <w:tcW w:type="dxa" w:w="7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N</w:t>
            </w:r>
          </w:p>
        </w:tc>
        <w:tc>
          <w:tcPr>
            <w:tcW w:type="dxa" w:w="2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Noeud</w:t>
            </w:r>
          </w:p>
        </w:tc>
        <w:tc>
          <w:tcPr>
            <w:tcW w:type="dxa" w:w="25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Type</w:t>
            </w:r>
          </w:p>
        </w:tc>
        <w:tc>
          <w:tcPr>
            <w:tcW w:type="dxa" w:w="206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Action principale</w:t>
            </w:r>
          </w:p>
        </w:tc>
        <w:tc>
          <w:tcPr>
            <w:tcW w:type="dxa" w:w="15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Statut</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1</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Approval Webhook</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Webhook GET</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Recevoir la decision du fondateur</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2</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Parse Approval Query</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Code JS</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Normaliser les parametres URL</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3</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Get Pack From Supabase</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HTTP Request GET</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Recuperer le pack CRM</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4</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Extract Pack Payload</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Code JS</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Restructurer les donnees pack</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5</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If Approved</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IF Condition</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Aiguiller approuver/rejeter</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6</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Build Send Context</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Code JS</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Verifier conditions d'envoi</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7</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If Ready To Send</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IF Condition</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Verifier email + contenu</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8</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Mark Pack Approved</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HTTP PATCH</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Enregistrer approbation CRM</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9</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Send External Email</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HTTP POST Resend</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Envoyer email au prospect</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10</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Parse Send Result</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Code JS</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Extraire ID confirmation</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11</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Mark Pack Sent</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HTTP PATCH</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Finaliser pack en CRM</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12</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Log Outreach Attempt</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HTTP POST</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Journaliser l'envoi</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F3864"/>
                <w:sz w:val="18"/>
                <w:szCs w:val="18"/>
              </w:rPr>
              <w:t xml:space="preserve">13</w:t>
            </w:r>
          </w:p>
        </w:tc>
        <w:tc>
          <w:tcPr>
            <w:tcW w:type="dxa" w:w="26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b w:val="false"/>
                <w:bCs w:val="false"/>
                <w:sz w:val="18"/>
                <w:szCs w:val="18"/>
              </w:rPr>
              <w:t xml:space="preserve">Send Internal Confirm.</w:t>
            </w:r>
          </w:p>
        </w:tc>
        <w:tc>
          <w:tcPr>
            <w:tcW w:type="dxa" w:w="2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HTTP POST Resend</w:t>
            </w:r>
          </w:p>
        </w:tc>
        <w:tc>
          <w:tcPr>
            <w:tcW w:type="dxa" w:w="206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r>
              <w:rPr>
                <w:rFonts w:ascii="Arial" w:cs="Arial" w:eastAsia="Arial" w:hAnsi="Arial"/>
                <w:sz w:val="18"/>
                <w:szCs w:val="18"/>
              </w:rPr>
              <w:t xml:space="preserve">Notifier le fondateur</w:t>
            </w:r>
          </w:p>
        </w:tc>
        <w:tc>
          <w:tcPr>
            <w:tcW w:type="dxa" w:w="15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1F3864"/>
                <w:sz w:val="18"/>
                <w:szCs w:val="18"/>
              </w:rPr>
              <w:t xml:space="preserve">14</w:t>
            </w:r>
          </w:p>
        </w:tc>
        <w:tc>
          <w:tcPr>
            <w:tcW w:type="dxa" w:w="26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r>
              <w:rPr>
                <w:rFonts w:ascii="Arial" w:cs="Arial" w:eastAsia="Arial" w:hAnsi="Arial"/>
                <w:b/>
                <w:bCs/>
                <w:sz w:val="18"/>
                <w:szCs w:val="18"/>
              </w:rPr>
              <w:t xml:space="preserve">Approval Success Resp.</w:t>
            </w:r>
          </w:p>
        </w:tc>
        <w:tc>
          <w:tcPr>
            <w:tcW w:type="dxa" w:w="25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r>
              <w:rPr>
                <w:rFonts w:ascii="Arial" w:cs="Arial" w:eastAsia="Arial" w:hAnsi="Arial"/>
                <w:sz w:val="18"/>
                <w:szCs w:val="18"/>
              </w:rPr>
              <w:t xml:space="preserve">Respond Webhook</w:t>
            </w:r>
          </w:p>
        </w:tc>
        <w:tc>
          <w:tcPr>
            <w:tcW w:type="dxa" w:w="206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r>
              <w:rPr>
                <w:rFonts w:ascii="Arial" w:cs="Arial" w:eastAsia="Arial" w:hAnsi="Arial"/>
                <w:sz w:val="18"/>
                <w:szCs w:val="18"/>
              </w:rPr>
              <w:t xml:space="preserve">Reponse HTTP finale</w:t>
            </w:r>
          </w:p>
        </w:tc>
        <w:tc>
          <w:tcPr>
            <w:tcW w:type="dxa" w:w="15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C0000"/>
                <w:sz w:val="18"/>
                <w:szCs w:val="18"/>
              </w:rPr>
              <w:t xml:space="preserve">SUPPRIME</w:t>
            </w:r>
          </w:p>
        </w:tc>
      </w:tr>
      <w:tr>
        <w:tc>
          <w:tcPr>
            <w:tcW w:type="dxa" w:w="7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color w:val="1F3864"/>
                <w:sz w:val="18"/>
                <w:szCs w:val="18"/>
              </w:rPr>
              <w:t xml:space="preserve">R1</w:t>
            </w:r>
          </w:p>
        </w:tc>
        <w:tc>
          <w:tcPr>
            <w:tcW w:type="dxa" w:w="26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rFonts w:ascii="Arial" w:cs="Arial" w:eastAsia="Arial" w:hAnsi="Arial"/>
                <w:b w:val="false"/>
                <w:bCs w:val="false"/>
                <w:sz w:val="18"/>
                <w:szCs w:val="18"/>
              </w:rPr>
              <w:t xml:space="preserve">Mark Pack Rejected</w:t>
            </w:r>
          </w:p>
        </w:tc>
        <w:tc>
          <w:tcPr>
            <w:tcW w:type="dxa" w:w="2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rFonts w:ascii="Arial" w:cs="Arial" w:eastAsia="Arial" w:hAnsi="Arial"/>
                <w:sz w:val="18"/>
                <w:szCs w:val="18"/>
              </w:rPr>
              <w:t xml:space="preserve">HTTP PATCH</w:t>
            </w:r>
          </w:p>
        </w:tc>
        <w:tc>
          <w:tcPr>
            <w:tcW w:type="dxa" w:w="20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rFonts w:ascii="Arial" w:cs="Arial" w:eastAsia="Arial" w:hAnsi="Arial"/>
                <w:sz w:val="18"/>
                <w:szCs w:val="18"/>
              </w:rPr>
              <w:t xml:space="preserve">Archiver pack rejete</w:t>
            </w:r>
          </w:p>
        </w:tc>
        <w:tc>
          <w:tcPr>
            <w:tcW w:type="dxa" w:w="1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r>
        <w:tc>
          <w:tcPr>
            <w:tcW w:type="dxa" w:w="7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color w:val="1F3864"/>
                <w:sz w:val="18"/>
                <w:szCs w:val="18"/>
              </w:rPr>
              <w:t xml:space="preserve">R2</w:t>
            </w:r>
          </w:p>
        </w:tc>
        <w:tc>
          <w:tcPr>
            <w:tcW w:type="dxa" w:w="26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rFonts w:ascii="Arial" w:cs="Arial" w:eastAsia="Arial" w:hAnsi="Arial"/>
                <w:b w:val="false"/>
                <w:bCs w:val="false"/>
                <w:sz w:val="18"/>
                <w:szCs w:val="18"/>
              </w:rPr>
              <w:t xml:space="preserve">Update Target Rejected</w:t>
            </w:r>
          </w:p>
        </w:tc>
        <w:tc>
          <w:tcPr>
            <w:tcW w:type="dxa" w:w="2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rFonts w:ascii="Arial" w:cs="Arial" w:eastAsia="Arial" w:hAnsi="Arial"/>
                <w:sz w:val="18"/>
                <w:szCs w:val="18"/>
              </w:rPr>
              <w:t xml:space="preserve">HTTP PATCH</w:t>
            </w:r>
          </w:p>
        </w:tc>
        <w:tc>
          <w:tcPr>
            <w:tcW w:type="dxa" w:w="206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r>
              <w:rPr>
                <w:rFonts w:ascii="Arial" w:cs="Arial" w:eastAsia="Arial" w:hAnsi="Arial"/>
                <w:sz w:val="18"/>
                <w:szCs w:val="18"/>
              </w:rPr>
              <w:t xml:space="preserve">Remettre prospect en ready</w:t>
            </w:r>
          </w:p>
        </w:tc>
        <w:tc>
          <w:tcPr>
            <w:tcW w:type="dxa" w:w="1500"/>
            <w:tcBorders>
              <w:top w:val="single" w:color="CCCCCC" w:sz="1"/>
              <w:left w:val="single" w:color="CCCCCC" w:sz="1"/>
              <w:bottom w:val="single" w:color="CCCCCC" w:sz="1"/>
              <w:right w:val="single" w:color="CCCCCC" w:sz="1"/>
            </w:tcBorders>
            <w:shd w:fill="D5E8F0" w:val="clear"/>
            <w:tcMar>
              <w:top w:type="dxa" w:w="60"/>
              <w:left w:type="dxa" w:w="80"/>
              <w:bottom w:type="dxa" w:w="60"/>
              <w:right w:type="dxa" w:w="80"/>
            </w:tcMar>
          </w:tcPr>
          <w:p>
            <w:pPr>
              <w:jc w:val="center"/>
            </w:pPr>
            <w:r>
              <w:rPr>
                <w:rFonts w:ascii="Arial" w:cs="Arial" w:eastAsia="Arial" w:hAnsi="Arial"/>
                <w:b/>
                <w:bCs/>
                <w:color w:val="1A7A3F"/>
                <w:sz w:val="18"/>
                <w:szCs w:val="18"/>
              </w:rPr>
              <w:t xml:space="preserve">Configure</w:t>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4"/>
              <w:left w:val="single" w:color="E8630A" w:sz="4"/>
              <w:bottom w:val="single" w:color="E8630A" w:sz="4"/>
              <w:right w:val="none" w:color="FFFFFF" w:sz="0"/>
            </w:tcBorders>
            <w:shd w:fill="FEF0E7" w:val="clear"/>
            <w:tcMar>
              <w:top w:type="dxa" w:w="120"/>
              <w:left w:type="dxa" w:w="180"/>
              <w:bottom w:type="dxa" w:w="120"/>
              <w:right w:type="dxa" w:w="120"/>
            </w:tcMar>
          </w:tcPr>
          <w:p>
            <w:r>
              <w:rPr>
                <w:rFonts w:ascii="Arial" w:cs="Arial" w:eastAsia="Arial" w:hAnsi="Arial"/>
                <w:b/>
                <w:bCs/>
                <w:color w:val="E8630A"/>
                <w:sz w:val="22"/>
                <w:szCs w:val="22"/>
              </w:rPr>
              <w:t xml:space="preserve">Note aux Fondateurs</w:t>
            </w:r>
          </w:p>
          <w:p>
            <w:pPr>
              <w:spacing w:after="0" w:before="60"/>
            </w:pPr>
            <w:r>
              <w:rPr>
                <w:rFonts w:ascii="Arial" w:cs="Arial" w:eastAsia="Arial" w:hAnsi="Arial"/>
                <w:color w:val="444444"/>
                <w:sz w:val="20"/>
                <w:szCs w:val="20"/>
              </w:rPr>
              <w:t xml:space="preserve">Ce guide technique est destine a assurer la transparence totale sur le fonctionnement interne du systeme TransferAI. Chaque decision de conception — notamment le controle humain systematique (Noeud 5: If Approved) avant tout envoi commercial — reflete notre engagement pour une IA responsable et auditable.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after="0" w:before="100"/>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30A" w:sz="4" w:space="1"/>
      </w:pBdr>
      <w:tabs>
        <w:tab w:val="right" w:pos="9360"/>
      </w:tabs>
      <w:spacing w:after="100" w:before="0"/>
    </w:pPr>
    <w:r>
      <w:rPr>
        <w:rFonts w:ascii="Arial" w:cs="Arial" w:eastAsia="Arial" w:hAnsi="Arial"/>
        <w:b/>
        <w:bCs/>
        <w:color w:val="E8630A"/>
        <w:sz w:val="18"/>
        <w:szCs w:val="18"/>
      </w:rPr>
      <w:t xml:space="preserve">TransferAI — Confidentiel</w:t>
    </w:r>
    <w:r>
      <w:rPr>
        <w:rFonts w:ascii="Arial" w:cs="Arial" w:eastAsia="Arial" w:hAnsi="Arial"/>
        <w:color w:val="999999"/>
        <w:sz w:val="18"/>
        <w:szCs w:val="18"/>
      </w:rPr>
      <w:t xml:space="preserve">	31 Mai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E8630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2026-05-29T17:52:58.683Z</dcterms:created>
  <dcterms:modified xsi:type="dcterms:W3CDTF">2026-05-29T17:52:58.688Z</dcterms:modified>
</cp:coreProperties>
</file>

<file path=docProps/custom.xml><?xml version="1.0" encoding="utf-8"?>
<Properties xmlns="http://schemas.openxmlformats.org/officeDocument/2006/custom-properties" xmlns:vt="http://schemas.openxmlformats.org/officeDocument/2006/docPropsVTypes"/>
</file>