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02A43"/>
          <w:sz w:val="48"/>
        </w:rPr>
        <w:t>Guide utilisateur - CRM Prospecting V3</w:t>
      </w:r>
    </w:p>
    <w:p>
      <w:pPr>
        <w:spacing w:after="280"/>
        <w:jc w:val="center"/>
      </w:pPr>
      <w:r>
        <w:rPr>
          <w:i/>
          <w:color w:val="555555"/>
          <w:sz w:val="22"/>
        </w:rPr>
        <w:t>Version opérationnelle du workflow de prospection intelligente CRM Enhanced</w:t>
      </w:r>
    </w:p>
    <w:p>
      <w:pPr>
        <w:spacing w:after="320"/>
        <w:jc w:val="center"/>
      </w:pPr>
      <w:r>
        <w:rPr>
          <w:color w:val="555555"/>
          <w:sz w:val="21"/>
        </w:rPr>
        <w:t>Version générée le 2026-06-02</w:t>
      </w:r>
    </w:p>
    <w:tbl>
      <w:tblPr>
        <w:tblW w:type="auto" w:w="0"/>
        <w:jc w:val="center"/>
        <w:tblLayout w:type="fixed"/>
        <w:tblLook w:firstColumn="1" w:firstRow="1" w:lastColumn="0" w:lastRow="0" w:noHBand="0" w:noVBand="1" w:val="04A0"/>
      </w:tblPr>
      <w:tblGrid>
        <w:gridCol w:w="9936"/>
      </w:tblGrid>
      <w:tr>
        <w:tc>
          <w:tcPr>
            <w:tcW w:type="dxa" w:w="9216"/>
            <w:shd w:fill="EAF2F8"/>
            <w:tcMar>
              <w:top w:w="140" w:type="dxa"/>
              <w:start w:w="180" w:type="dxa"/>
              <w:bottom w:w="140" w:type="dxa"/>
              <w:end w:w="180" w:type="dxa"/>
            </w:tcMar>
            <w:vAlign w:val="center"/>
          </w:tcPr>
          <w:p>
            <w:pPr>
              <w:jc w:val="left"/>
            </w:pPr>
            <w:r>
              <w:rPr>
                <w:sz w:val="21"/>
              </w:rPr>
              <w:t>Workflow de référence : TransferAI Prospecting V3 CRM Enhanced [FINAL]. Fichier source : TransferAI Prospecting V3 CRM Enhanced [FINAL]-10.json. État réel : 53 nœuds. Ce guide utilisateur reprend le modèle du guide d’installation V3 CRM ready, mais l’adapte à la version CRM prospecting enrichie avec génération de pièces jointes, approbation, envoi, mises à jour CRM et rendu catalogue / deck.</w:t>
            </w:r>
          </w:p>
        </w:tc>
      </w:tr>
    </w:tbl>
    <w:p/>
    <w:p>
      <w:pPr>
        <w:pStyle w:val="Heading1"/>
      </w:pPr>
      <w:r>
        <w:t>1. Finalité du guide</w:t>
      </w:r>
    </w:p>
    <w:p>
      <w:pPr>
        <w:spacing w:after="100"/>
      </w:pPr>
      <w:r>
        <w:t>Ce document sert de guide utilisateur opérationnel pour la version CRM prospecting du workflow V3. Il est conçu pour un usage quotidien par l’équipe TransferAI : lecture rapide, contrôle des nœuds critiques, compréhension de la logique d’approbation, suivi CRM, rendu des pièces jointes et dépannage des cas les plus fréquents.</w:t>
      </w:r>
    </w:p>
    <w:p>
      <w:pPr>
        <w:pStyle w:val="Heading1"/>
      </w:pPr>
      <w:r>
        <w:t>2. Ce que fait réellement cette version CRM prospecting</w:t>
      </w:r>
    </w:p>
    <w:p>
      <w:pPr>
        <w:pStyle w:val="ListBullet"/>
        <w:spacing w:after="40"/>
      </w:pPr>
      <w:r>
        <w:t>scrape et normalise les signaux publics d’un prospect</w:t>
      </w:r>
    </w:p>
    <w:p>
      <w:pPr>
        <w:pStyle w:val="ListBullet"/>
        <w:spacing w:after="40"/>
      </w:pPr>
      <w:r>
        <w:t>protège les données sensibles avant exposition au LLM</w:t>
      </w:r>
    </w:p>
    <w:p>
      <w:pPr>
        <w:pStyle w:val="ListBullet"/>
        <w:spacing w:after="40"/>
      </w:pPr>
      <w:r>
        <w:t>génère un courrier, un catalogue, une forme d’audit et un brief de deck</w:t>
      </w:r>
    </w:p>
    <w:p>
      <w:pPr>
        <w:pStyle w:val="ListBullet"/>
        <w:spacing w:after="40"/>
      </w:pPr>
      <w:r>
        <w:t>stocke un pack prospect dans Supabase</w:t>
      </w:r>
    </w:p>
    <w:p>
      <w:pPr>
        <w:pStyle w:val="ListBullet"/>
        <w:spacing w:after="40"/>
      </w:pPr>
      <w:r>
        <w:t>envoie un e-mail d’approbation interne</w:t>
      </w:r>
    </w:p>
    <w:p>
      <w:pPr>
        <w:pStyle w:val="ListBullet"/>
        <w:spacing w:after="40"/>
      </w:pPr>
      <w:r>
        <w:t>sur approbation, envoie le courrier prospect avec pièces jointes</w:t>
      </w:r>
    </w:p>
    <w:p>
      <w:pPr>
        <w:pStyle w:val="ListBullet"/>
        <w:spacing w:after="40"/>
      </w:pPr>
      <w:r>
        <w:t>met à jour ai_prospecting_packs, outreach_attempts et prospect_targets</w:t>
      </w:r>
    </w:p>
    <w:p>
      <w:pPr>
        <w:pStyle w:val="ListBullet"/>
        <w:spacing w:after="40"/>
      </w:pPr>
      <w:r>
        <w:t>rend dynamiquement un catalogue PDF et un deck PPTX avant envoi</w:t>
      </w:r>
    </w:p>
    <w:p>
      <w:pPr>
        <w:pStyle w:val="Heading1"/>
      </w:pPr>
      <w:r>
        <w:t>3. Variables d’environnement à prévoir</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shd w:fill="D9E7F5"/>
            <w:tcMar>
              <w:top w:w="90" w:type="dxa"/>
              <w:start w:w="110" w:type="dxa"/>
              <w:bottom w:w="90" w:type="dxa"/>
              <w:end w:w="110" w:type="dxa"/>
            </w:tcMar>
            <w:vAlign w:val="center"/>
          </w:tcPr>
          <w:p>
            <w:pPr>
              <w:jc w:val="center"/>
            </w:pPr>
            <w:r>
              <w:rPr>
                <w:b/>
                <w:sz w:val="20"/>
              </w:rPr>
              <w:t>Variable</w:t>
            </w:r>
          </w:p>
        </w:tc>
        <w:tc>
          <w:tcPr>
            <w:tcW w:type="dxa" w:w="6048"/>
            <w:shd w:fill="D9E7F5"/>
            <w:tcMar>
              <w:top w:w="90" w:type="dxa"/>
              <w:start w:w="110" w:type="dxa"/>
              <w:bottom w:w="90" w:type="dxa"/>
              <w:end w:w="110" w:type="dxa"/>
            </w:tcMar>
            <w:vAlign w:val="center"/>
          </w:tcPr>
          <w:p>
            <w:pPr>
              <w:jc w:val="center"/>
            </w:pPr>
            <w:r>
              <w:rPr>
                <w:b/>
                <w:sz w:val="20"/>
              </w:rPr>
              <w:t>Utilité</w:t>
            </w:r>
          </w:p>
        </w:tc>
      </w:tr>
      <w:tr>
        <w:tc>
          <w:tcPr>
            <w:tcW w:type="dxa" w:w="3024"/>
            <w:tcMar>
              <w:top w:w="70" w:type="dxa"/>
              <w:start w:w="100" w:type="dxa"/>
              <w:bottom w:w="70" w:type="dxa"/>
              <w:end w:w="100" w:type="dxa"/>
            </w:tcMar>
            <w:vAlign w:val="center"/>
          </w:tcPr>
          <w:p>
            <w:pPr>
              <w:spacing w:after="0"/>
            </w:pPr>
            <w:r>
              <w:rPr>
                <w:sz w:val="19"/>
              </w:rPr>
              <w:t>OPENAI_API_KEY</w:t>
            </w:r>
          </w:p>
        </w:tc>
        <w:tc>
          <w:tcPr>
            <w:tcW w:type="dxa" w:w="6048"/>
            <w:tcMar>
              <w:top w:w="70" w:type="dxa"/>
              <w:start w:w="100" w:type="dxa"/>
              <w:bottom w:w="70" w:type="dxa"/>
              <w:end w:w="100" w:type="dxa"/>
            </w:tcMar>
            <w:vAlign w:val="center"/>
          </w:tcPr>
          <w:p>
            <w:pPr>
              <w:spacing w:after="0"/>
            </w:pPr>
            <w:r>
              <w:rPr>
                <w:sz w:val="19"/>
              </w:rPr>
              <w:t>clé API OpenAI utilisée par les nœuds d’analyse et de génération</w:t>
            </w:r>
          </w:p>
        </w:tc>
      </w:tr>
      <w:tr>
        <w:tc>
          <w:tcPr>
            <w:tcW w:type="dxa" w:w="3024"/>
            <w:tcMar>
              <w:top w:w="70" w:type="dxa"/>
              <w:start w:w="100" w:type="dxa"/>
              <w:bottom w:w="70" w:type="dxa"/>
              <w:end w:w="100" w:type="dxa"/>
            </w:tcMar>
            <w:vAlign w:val="center"/>
          </w:tcPr>
          <w:p>
            <w:pPr>
              <w:spacing w:after="0"/>
            </w:pPr>
            <w:r>
              <w:rPr>
                <w:sz w:val="19"/>
              </w:rPr>
              <w:t>OPENAI_MODEL</w:t>
            </w:r>
          </w:p>
        </w:tc>
        <w:tc>
          <w:tcPr>
            <w:tcW w:type="dxa" w:w="6048"/>
            <w:tcMar>
              <w:top w:w="70" w:type="dxa"/>
              <w:start w:w="100" w:type="dxa"/>
              <w:bottom w:w="70" w:type="dxa"/>
              <w:end w:w="100" w:type="dxa"/>
            </w:tcMar>
            <w:vAlign w:val="center"/>
          </w:tcPr>
          <w:p>
            <w:pPr>
              <w:spacing w:after="0"/>
            </w:pPr>
            <w:r>
              <w:rPr>
                <w:sz w:val="19"/>
              </w:rPr>
              <w:t>modèle OpenAI, par exemple gpt-4.1-mini</w:t>
            </w:r>
          </w:p>
        </w:tc>
      </w:tr>
      <w:tr>
        <w:tc>
          <w:tcPr>
            <w:tcW w:type="dxa" w:w="3024"/>
            <w:tcMar>
              <w:top w:w="70" w:type="dxa"/>
              <w:start w:w="100" w:type="dxa"/>
              <w:bottom w:w="70" w:type="dxa"/>
              <w:end w:w="100" w:type="dxa"/>
            </w:tcMar>
            <w:vAlign w:val="center"/>
          </w:tcPr>
          <w:p>
            <w:pPr>
              <w:spacing w:after="0"/>
            </w:pPr>
            <w:r>
              <w:rPr>
                <w:sz w:val="19"/>
              </w:rPr>
              <w:t>SUPABASE_URL</w:t>
            </w:r>
          </w:p>
        </w:tc>
        <w:tc>
          <w:tcPr>
            <w:tcW w:type="dxa" w:w="6048"/>
            <w:tcMar>
              <w:top w:w="70" w:type="dxa"/>
              <w:start w:w="100" w:type="dxa"/>
              <w:bottom w:w="70" w:type="dxa"/>
              <w:end w:w="100" w:type="dxa"/>
            </w:tcMar>
            <w:vAlign w:val="center"/>
          </w:tcPr>
          <w:p>
            <w:pPr>
              <w:spacing w:after="0"/>
            </w:pPr>
            <w:r>
              <w:rPr>
                <w:sz w:val="19"/>
              </w:rPr>
              <w:t>URL du projet Supabase</w:t>
            </w:r>
          </w:p>
        </w:tc>
      </w:tr>
      <w:tr>
        <w:tc>
          <w:tcPr>
            <w:tcW w:type="dxa" w:w="3024"/>
            <w:tcMar>
              <w:top w:w="70" w:type="dxa"/>
              <w:start w:w="100" w:type="dxa"/>
              <w:bottom w:w="70" w:type="dxa"/>
              <w:end w:w="100" w:type="dxa"/>
            </w:tcMar>
            <w:vAlign w:val="center"/>
          </w:tcPr>
          <w:p>
            <w:pPr>
              <w:spacing w:after="0"/>
            </w:pPr>
            <w:r>
              <w:rPr>
                <w:sz w:val="19"/>
              </w:rPr>
              <w:t>SUPABASE_SERVICE_ROLE_KEY</w:t>
            </w:r>
          </w:p>
        </w:tc>
        <w:tc>
          <w:tcPr>
            <w:tcW w:type="dxa" w:w="6048"/>
            <w:tcMar>
              <w:top w:w="70" w:type="dxa"/>
              <w:start w:w="100" w:type="dxa"/>
              <w:bottom w:w="70" w:type="dxa"/>
              <w:end w:w="100" w:type="dxa"/>
            </w:tcMar>
            <w:vAlign w:val="center"/>
          </w:tcPr>
          <w:p>
            <w:pPr>
              <w:spacing w:after="0"/>
            </w:pPr>
            <w:r>
              <w:rPr>
                <w:sz w:val="19"/>
              </w:rPr>
              <w:t>clé service_role utilisée pour packs, logs, CRM et rendu</w:t>
            </w:r>
          </w:p>
        </w:tc>
      </w:tr>
      <w:tr>
        <w:tc>
          <w:tcPr>
            <w:tcW w:type="dxa" w:w="3024"/>
            <w:tcMar>
              <w:top w:w="70" w:type="dxa"/>
              <w:start w:w="100" w:type="dxa"/>
              <w:bottom w:w="70" w:type="dxa"/>
              <w:end w:w="100" w:type="dxa"/>
            </w:tcMar>
            <w:vAlign w:val="center"/>
          </w:tcPr>
          <w:p>
            <w:pPr>
              <w:spacing w:after="0"/>
            </w:pPr>
            <w:r>
              <w:rPr>
                <w:sz w:val="19"/>
              </w:rPr>
              <w:t>RESEND_API_KEY</w:t>
            </w:r>
          </w:p>
        </w:tc>
        <w:tc>
          <w:tcPr>
            <w:tcW w:type="dxa" w:w="6048"/>
            <w:tcMar>
              <w:top w:w="70" w:type="dxa"/>
              <w:start w:w="100" w:type="dxa"/>
              <w:bottom w:w="70" w:type="dxa"/>
              <w:end w:w="100" w:type="dxa"/>
            </w:tcMar>
            <w:vAlign w:val="center"/>
          </w:tcPr>
          <w:p>
            <w:pPr>
              <w:spacing w:after="0"/>
            </w:pPr>
            <w:r>
              <w:rPr>
                <w:sz w:val="19"/>
              </w:rPr>
              <w:t>clé utilisée pour les e-mails internes et prospect</w:t>
            </w:r>
          </w:p>
        </w:tc>
      </w:tr>
      <w:tr>
        <w:tc>
          <w:tcPr>
            <w:tcW w:type="dxa" w:w="3024"/>
            <w:tcMar>
              <w:top w:w="70" w:type="dxa"/>
              <w:start w:w="100" w:type="dxa"/>
              <w:bottom w:w="70" w:type="dxa"/>
              <w:end w:w="100" w:type="dxa"/>
            </w:tcMar>
            <w:vAlign w:val="center"/>
          </w:tcPr>
          <w:p>
            <w:pPr>
              <w:spacing w:after="0"/>
            </w:pPr>
            <w:r>
              <w:rPr>
                <w:sz w:val="19"/>
              </w:rPr>
              <w:t>OUTREACH_FROM_EMAIL</w:t>
            </w:r>
          </w:p>
        </w:tc>
        <w:tc>
          <w:tcPr>
            <w:tcW w:type="dxa" w:w="6048"/>
            <w:tcMar>
              <w:top w:w="70" w:type="dxa"/>
              <w:start w:w="100" w:type="dxa"/>
              <w:bottom w:w="70" w:type="dxa"/>
              <w:end w:w="100" w:type="dxa"/>
            </w:tcMar>
            <w:vAlign w:val="center"/>
          </w:tcPr>
          <w:p>
            <w:pPr>
              <w:spacing w:after="0"/>
            </w:pPr>
            <w:r>
              <w:rPr>
                <w:sz w:val="19"/>
              </w:rPr>
              <w:t>adresse d’envoi du courrier prospect</w:t>
            </w:r>
          </w:p>
        </w:tc>
      </w:tr>
      <w:tr>
        <w:tc>
          <w:tcPr>
            <w:tcW w:type="dxa" w:w="3024"/>
            <w:tcMar>
              <w:top w:w="70" w:type="dxa"/>
              <w:start w:w="100" w:type="dxa"/>
              <w:bottom w:w="70" w:type="dxa"/>
              <w:end w:w="100" w:type="dxa"/>
            </w:tcMar>
            <w:vAlign w:val="center"/>
          </w:tcPr>
          <w:p>
            <w:pPr>
              <w:spacing w:after="0"/>
            </w:pPr>
            <w:r>
              <w:rPr>
                <w:sz w:val="19"/>
              </w:rPr>
              <w:t>INTERNAL_REVIEW_EMAIL</w:t>
            </w:r>
          </w:p>
        </w:tc>
        <w:tc>
          <w:tcPr>
            <w:tcW w:type="dxa" w:w="6048"/>
            <w:tcMar>
              <w:top w:w="70" w:type="dxa"/>
              <w:start w:w="100" w:type="dxa"/>
              <w:bottom w:w="70" w:type="dxa"/>
              <w:end w:w="100" w:type="dxa"/>
            </w:tcMar>
            <w:vAlign w:val="center"/>
          </w:tcPr>
          <w:p>
            <w:pPr>
              <w:spacing w:after="0"/>
            </w:pPr>
            <w:r>
              <w:rPr>
                <w:sz w:val="19"/>
              </w:rPr>
              <w:t>adresse de réception de l’e-mail d’approbation</w:t>
            </w:r>
          </w:p>
        </w:tc>
      </w:tr>
      <w:tr>
        <w:tc>
          <w:tcPr>
            <w:tcW w:type="dxa" w:w="3024"/>
            <w:tcMar>
              <w:top w:w="70" w:type="dxa"/>
              <w:start w:w="100" w:type="dxa"/>
              <w:bottom w:w="70" w:type="dxa"/>
              <w:end w:w="100" w:type="dxa"/>
            </w:tcMar>
            <w:vAlign w:val="center"/>
          </w:tcPr>
          <w:p>
            <w:pPr>
              <w:spacing w:after="0"/>
            </w:pPr>
            <w:r>
              <w:rPr>
                <w:sz w:val="19"/>
              </w:rPr>
              <w:t>N8N_BASE_URL</w:t>
            </w:r>
          </w:p>
        </w:tc>
        <w:tc>
          <w:tcPr>
            <w:tcW w:type="dxa" w:w="6048"/>
            <w:tcMar>
              <w:top w:w="70" w:type="dxa"/>
              <w:start w:w="100" w:type="dxa"/>
              <w:bottom w:w="70" w:type="dxa"/>
              <w:end w:w="100" w:type="dxa"/>
            </w:tcMar>
            <w:vAlign w:val="center"/>
          </w:tcPr>
          <w:p>
            <w:pPr>
              <w:spacing w:after="0"/>
            </w:pPr>
            <w:r>
              <w:rPr>
                <w:sz w:val="19"/>
              </w:rPr>
              <w:t>URL publique n8n utilisée pour le webhook d’approbation</w:t>
            </w:r>
          </w:p>
        </w:tc>
      </w:tr>
      <w:tr>
        <w:tc>
          <w:tcPr>
            <w:tcW w:type="dxa" w:w="3024"/>
            <w:tcMar>
              <w:top w:w="70" w:type="dxa"/>
              <w:start w:w="100" w:type="dxa"/>
              <w:bottom w:w="70" w:type="dxa"/>
              <w:end w:w="100" w:type="dxa"/>
            </w:tcMar>
            <w:vAlign w:val="center"/>
          </w:tcPr>
          <w:p>
            <w:pPr>
              <w:spacing w:after="0"/>
            </w:pPr>
            <w:r>
              <w:rPr>
                <w:sz w:val="19"/>
              </w:rPr>
              <w:t>BOOKING_LINK_45MIN</w:t>
            </w:r>
          </w:p>
        </w:tc>
        <w:tc>
          <w:tcPr>
            <w:tcW w:type="dxa" w:w="6048"/>
            <w:tcMar>
              <w:top w:w="70" w:type="dxa"/>
              <w:start w:w="100" w:type="dxa"/>
              <w:bottom w:w="70" w:type="dxa"/>
              <w:end w:w="100" w:type="dxa"/>
            </w:tcMar>
            <w:vAlign w:val="center"/>
          </w:tcPr>
          <w:p>
            <w:pPr>
              <w:spacing w:after="0"/>
            </w:pPr>
            <w:r>
              <w:rPr>
                <w:sz w:val="19"/>
              </w:rPr>
              <w:t>lien de rendez-vous de 45 minutes</w:t>
            </w:r>
          </w:p>
        </w:tc>
      </w:tr>
    </w:tbl>
    <w:p>
      <w:pPr>
        <w:pStyle w:val="Heading1"/>
      </w:pPr>
      <w:r>
        <w:t>4. Tables et objets utilisés</w:t>
      </w:r>
    </w:p>
    <w:p>
      <w:pPr>
        <w:pStyle w:val="ListBullet"/>
        <w:spacing w:after="40"/>
      </w:pPr>
      <w:r>
        <w:t>ai_prospecting_packs : stocke le pack complet et ses statuts</w:t>
      </w:r>
    </w:p>
    <w:p>
      <w:pPr>
        <w:pStyle w:val="ListBullet"/>
        <w:spacing w:after="40"/>
      </w:pPr>
      <w:r>
        <w:t>outreach_attempts : journalise les envois effectués</w:t>
      </w:r>
    </w:p>
    <w:p>
      <w:pPr>
        <w:pStyle w:val="ListBullet"/>
        <w:spacing w:after="40"/>
      </w:pPr>
      <w:r>
        <w:t>prospect_targets : stocke l’état CRM du prospect</w:t>
      </w:r>
    </w:p>
    <w:p>
      <w:pPr>
        <w:pStyle w:val="ListBullet"/>
        <w:spacing w:after="40"/>
      </w:pPr>
      <w:r>
        <w:t>prospecting-artifacts : bucket ou mécanisme de rendu utilisé pour le catalogue et le deck</w:t>
      </w:r>
    </w:p>
    <w:p>
      <w:pPr>
        <w:pStyle w:val="ListBullet"/>
        <w:spacing w:after="40"/>
      </w:pPr>
      <w:r>
        <w:t>fonctions de rendu catalogue-renderer et deck-renderer si elles sont déployées côté Supabase</w:t>
      </w:r>
    </w:p>
    <w:p>
      <w:pPr>
        <w:pStyle w:val="Heading1"/>
      </w:pPr>
      <w:r>
        <w:t>5. Ordre réel des nœuds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008"/>
            <w:shd w:fill="D9E7F5"/>
            <w:tcMar>
              <w:top w:w="90" w:type="dxa"/>
              <w:start w:w="110" w:type="dxa"/>
              <w:bottom w:w="90" w:type="dxa"/>
              <w:end w:w="110" w:type="dxa"/>
            </w:tcMar>
            <w:vAlign w:val="center"/>
          </w:tcPr>
          <w:p>
            <w:pPr>
              <w:jc w:val="center"/>
            </w:pPr>
            <w:r>
              <w:rPr>
                <w:b/>
                <w:sz w:val="20"/>
              </w:rPr>
              <w:t>Ordre</w:t>
            </w:r>
          </w:p>
        </w:tc>
        <w:tc>
          <w:tcPr>
            <w:tcW w:type="dxa" w:w="5112"/>
            <w:shd w:fill="D9E7F5"/>
            <w:tcMar>
              <w:top w:w="90" w:type="dxa"/>
              <w:start w:w="110" w:type="dxa"/>
              <w:bottom w:w="90" w:type="dxa"/>
              <w:end w:w="110" w:type="dxa"/>
            </w:tcMar>
            <w:vAlign w:val="center"/>
          </w:tcPr>
          <w:p>
            <w:pPr>
              <w:jc w:val="center"/>
            </w:pPr>
            <w:r>
              <w:rPr>
                <w:b/>
                <w:sz w:val="20"/>
              </w:rPr>
              <w:t>Nœud</w:t>
            </w:r>
          </w:p>
        </w:tc>
        <w:tc>
          <w:tcPr>
            <w:tcW w:type="dxa" w:w="2736"/>
            <w:shd w:fill="D9E7F5"/>
            <w:tcMar>
              <w:top w:w="90" w:type="dxa"/>
              <w:start w:w="110" w:type="dxa"/>
              <w:bottom w:w="90" w:type="dxa"/>
              <w:end w:w="110" w:type="dxa"/>
            </w:tcMar>
            <w:vAlign w:val="center"/>
          </w:tcPr>
          <w:p>
            <w:pPr>
              <w:jc w:val="center"/>
            </w:pPr>
            <w:r>
              <w:rPr>
                <w:b/>
                <w:sz w:val="20"/>
              </w:rPr>
              <w:t>Type</w:t>
            </w:r>
          </w:p>
        </w:tc>
      </w:tr>
      <w:tr>
        <w:tc>
          <w:tcPr>
            <w:tcW w:type="dxa" w:w="1008"/>
            <w:tcMar>
              <w:top w:w="70" w:type="dxa"/>
              <w:start w:w="100" w:type="dxa"/>
              <w:bottom w:w="70" w:type="dxa"/>
              <w:end w:w="100" w:type="dxa"/>
            </w:tcMar>
            <w:vAlign w:val="center"/>
          </w:tcPr>
          <w:p>
            <w:pPr>
              <w:spacing w:after="0"/>
            </w:pPr>
            <w:r>
              <w:rPr>
                <w:sz w:val="19"/>
              </w:rPr>
              <w:t>1</w:t>
            </w:r>
          </w:p>
        </w:tc>
        <w:tc>
          <w:tcPr>
            <w:tcW w:type="dxa" w:w="5112"/>
            <w:tcMar>
              <w:top w:w="70" w:type="dxa"/>
              <w:start w:w="100" w:type="dxa"/>
              <w:bottom w:w="70" w:type="dxa"/>
              <w:end w:w="100" w:type="dxa"/>
            </w:tcMar>
            <w:vAlign w:val="center"/>
          </w:tcPr>
          <w:p>
            <w:pPr>
              <w:spacing w:after="0"/>
            </w:pPr>
            <w:r>
              <w:rPr>
                <w:sz w:val="19"/>
              </w:rPr>
              <w:t>Manual Trigger</w:t>
            </w:r>
          </w:p>
        </w:tc>
        <w:tc>
          <w:tcPr>
            <w:tcW w:type="dxa" w:w="2736"/>
            <w:tcMar>
              <w:top w:w="70" w:type="dxa"/>
              <w:start w:w="100" w:type="dxa"/>
              <w:bottom w:w="70" w:type="dxa"/>
              <w:end w:w="100" w:type="dxa"/>
            </w:tcMar>
            <w:vAlign w:val="center"/>
          </w:tcPr>
          <w:p>
            <w:pPr>
              <w:spacing w:after="0"/>
            </w:pPr>
            <w:r>
              <w:rPr>
                <w:sz w:val="19"/>
              </w:rPr>
              <w:t>manualTrigger</w:t>
            </w:r>
          </w:p>
        </w:tc>
      </w:tr>
      <w:tr>
        <w:tc>
          <w:tcPr>
            <w:tcW w:type="dxa" w:w="1008"/>
            <w:tcMar>
              <w:top w:w="70" w:type="dxa"/>
              <w:start w:w="100" w:type="dxa"/>
              <w:bottom w:w="70" w:type="dxa"/>
              <w:end w:w="100" w:type="dxa"/>
            </w:tcMar>
            <w:vAlign w:val="center"/>
          </w:tcPr>
          <w:p>
            <w:pPr>
              <w:spacing w:after="0"/>
            </w:pPr>
            <w:r>
              <w:rPr>
                <w:sz w:val="19"/>
              </w:rPr>
              <w:t>2</w:t>
            </w:r>
          </w:p>
        </w:tc>
        <w:tc>
          <w:tcPr>
            <w:tcW w:type="dxa" w:w="5112"/>
            <w:tcMar>
              <w:top w:w="70" w:type="dxa"/>
              <w:start w:w="100" w:type="dxa"/>
              <w:bottom w:w="70" w:type="dxa"/>
              <w:end w:w="100" w:type="dxa"/>
            </w:tcMar>
            <w:vAlign w:val="center"/>
          </w:tcPr>
          <w:p>
            <w:pPr>
              <w:spacing w:after="0"/>
            </w:pPr>
            <w:r>
              <w:rPr>
                <w:sz w:val="19"/>
              </w:rPr>
              <w:t>Execute Workflow Trigger</w:t>
            </w:r>
          </w:p>
        </w:tc>
        <w:tc>
          <w:tcPr>
            <w:tcW w:type="dxa" w:w="2736"/>
            <w:tcMar>
              <w:top w:w="70" w:type="dxa"/>
              <w:start w:w="100" w:type="dxa"/>
              <w:bottom w:w="70" w:type="dxa"/>
              <w:end w:w="100" w:type="dxa"/>
            </w:tcMar>
            <w:vAlign w:val="center"/>
          </w:tcPr>
          <w:p>
            <w:pPr>
              <w:spacing w:after="0"/>
            </w:pPr>
            <w:r>
              <w:rPr>
                <w:sz w:val="19"/>
              </w:rPr>
              <w:t>executeWorkflowTrigger</w:t>
            </w:r>
          </w:p>
        </w:tc>
      </w:tr>
      <w:tr>
        <w:tc>
          <w:tcPr>
            <w:tcW w:type="dxa" w:w="1008"/>
            <w:tcMar>
              <w:top w:w="70" w:type="dxa"/>
              <w:start w:w="100" w:type="dxa"/>
              <w:bottom w:w="70" w:type="dxa"/>
              <w:end w:w="100" w:type="dxa"/>
            </w:tcMar>
            <w:vAlign w:val="center"/>
          </w:tcPr>
          <w:p>
            <w:pPr>
              <w:spacing w:after="0"/>
            </w:pPr>
            <w:r>
              <w:rPr>
                <w:sz w:val="19"/>
              </w:rPr>
              <w:t>3</w:t>
            </w:r>
          </w:p>
        </w:tc>
        <w:tc>
          <w:tcPr>
            <w:tcW w:type="dxa" w:w="5112"/>
            <w:tcMar>
              <w:top w:w="70" w:type="dxa"/>
              <w:start w:w="100" w:type="dxa"/>
              <w:bottom w:w="70" w:type="dxa"/>
              <w:end w:w="100" w:type="dxa"/>
            </w:tcMar>
            <w:vAlign w:val="center"/>
          </w:tcPr>
          <w:p>
            <w:pPr>
              <w:spacing w:after="0"/>
            </w:pPr>
            <w:r>
              <w:rPr>
                <w:sz w:val="19"/>
              </w:rPr>
              <w:t>Set Target</w:t>
            </w:r>
          </w:p>
        </w:tc>
        <w:tc>
          <w:tcPr>
            <w:tcW w:type="dxa" w:w="2736"/>
            <w:tcMar>
              <w:top w:w="70" w:type="dxa"/>
              <w:start w:w="100" w:type="dxa"/>
              <w:bottom w:w="70" w:type="dxa"/>
              <w:end w:w="100" w:type="dxa"/>
            </w:tcMar>
            <w:vAlign w:val="center"/>
          </w:tcPr>
          <w:p>
            <w:pPr>
              <w:spacing w:after="0"/>
            </w:pPr>
            <w:r>
              <w:rPr>
                <w:sz w:val="19"/>
              </w:rPr>
              <w:t>set</w:t>
            </w:r>
          </w:p>
        </w:tc>
      </w:tr>
      <w:tr>
        <w:tc>
          <w:tcPr>
            <w:tcW w:type="dxa" w:w="1008"/>
            <w:tcMar>
              <w:top w:w="70" w:type="dxa"/>
              <w:start w:w="100" w:type="dxa"/>
              <w:bottom w:w="70" w:type="dxa"/>
              <w:end w:w="100" w:type="dxa"/>
            </w:tcMar>
            <w:vAlign w:val="center"/>
          </w:tcPr>
          <w:p>
            <w:pPr>
              <w:spacing w:after="0"/>
            </w:pPr>
            <w:r>
              <w:rPr>
                <w:sz w:val="19"/>
              </w:rPr>
              <w:t>4</w:t>
            </w:r>
          </w:p>
        </w:tc>
        <w:tc>
          <w:tcPr>
            <w:tcW w:type="dxa" w:w="5112"/>
            <w:tcMar>
              <w:top w:w="70" w:type="dxa"/>
              <w:start w:w="100" w:type="dxa"/>
              <w:bottom w:w="70" w:type="dxa"/>
              <w:end w:w="100" w:type="dxa"/>
            </w:tcMar>
            <w:vAlign w:val="center"/>
          </w:tcPr>
          <w:p>
            <w:pPr>
              <w:spacing w:after="0"/>
            </w:pPr>
            <w:r>
              <w:rPr>
                <w:sz w:val="19"/>
              </w:rPr>
              <w:t>Build Source URLs</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5</w:t>
            </w:r>
          </w:p>
        </w:tc>
        <w:tc>
          <w:tcPr>
            <w:tcW w:type="dxa" w:w="5112"/>
            <w:tcMar>
              <w:top w:w="70" w:type="dxa"/>
              <w:start w:w="100" w:type="dxa"/>
              <w:bottom w:w="70" w:type="dxa"/>
              <w:end w:w="100" w:type="dxa"/>
            </w:tcMar>
            <w:vAlign w:val="center"/>
          </w:tcPr>
          <w:p>
            <w:pPr>
              <w:spacing w:after="0"/>
            </w:pPr>
            <w:r>
              <w:rPr>
                <w:sz w:val="19"/>
              </w:rPr>
              <w:t>Fetch Public Page 1</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6</w:t>
            </w:r>
          </w:p>
        </w:tc>
        <w:tc>
          <w:tcPr>
            <w:tcW w:type="dxa" w:w="5112"/>
            <w:tcMar>
              <w:top w:w="70" w:type="dxa"/>
              <w:start w:w="100" w:type="dxa"/>
              <w:bottom w:w="70" w:type="dxa"/>
              <w:end w:w="100" w:type="dxa"/>
            </w:tcMar>
            <w:vAlign w:val="center"/>
          </w:tcPr>
          <w:p>
            <w:pPr>
              <w:spacing w:after="0"/>
            </w:pPr>
            <w:r>
              <w:rPr>
                <w:sz w:val="19"/>
              </w:rPr>
              <w:t>Fetch Public Page 2</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7</w:t>
            </w:r>
          </w:p>
        </w:tc>
        <w:tc>
          <w:tcPr>
            <w:tcW w:type="dxa" w:w="5112"/>
            <w:tcMar>
              <w:top w:w="70" w:type="dxa"/>
              <w:start w:w="100" w:type="dxa"/>
              <w:bottom w:w="70" w:type="dxa"/>
              <w:end w:w="100" w:type="dxa"/>
            </w:tcMar>
            <w:vAlign w:val="center"/>
          </w:tcPr>
          <w:p>
            <w:pPr>
              <w:spacing w:after="0"/>
            </w:pPr>
            <w:r>
              <w:rPr>
                <w:sz w:val="19"/>
              </w:rPr>
              <w:t>Fetch Public Page 3</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8</w:t>
            </w:r>
          </w:p>
        </w:tc>
        <w:tc>
          <w:tcPr>
            <w:tcW w:type="dxa" w:w="5112"/>
            <w:tcMar>
              <w:top w:w="70" w:type="dxa"/>
              <w:start w:w="100" w:type="dxa"/>
              <w:bottom w:w="70" w:type="dxa"/>
              <w:end w:w="100" w:type="dxa"/>
            </w:tcMar>
            <w:vAlign w:val="center"/>
          </w:tcPr>
          <w:p>
            <w:pPr>
              <w:spacing w:after="0"/>
            </w:pPr>
            <w:r>
              <w:rPr>
                <w:sz w:val="19"/>
              </w:rPr>
              <w:t>Fetch Public Page 4</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9</w:t>
            </w:r>
          </w:p>
        </w:tc>
        <w:tc>
          <w:tcPr>
            <w:tcW w:type="dxa" w:w="5112"/>
            <w:tcMar>
              <w:top w:w="70" w:type="dxa"/>
              <w:start w:w="100" w:type="dxa"/>
              <w:bottom w:w="70" w:type="dxa"/>
              <w:end w:w="100" w:type="dxa"/>
            </w:tcMar>
            <w:vAlign w:val="center"/>
          </w:tcPr>
          <w:p>
            <w:pPr>
              <w:spacing w:after="0"/>
            </w:pPr>
            <w:r>
              <w:rPr>
                <w:sz w:val="19"/>
              </w:rPr>
              <w:t>Fetch Public Page 5</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10</w:t>
            </w:r>
          </w:p>
        </w:tc>
        <w:tc>
          <w:tcPr>
            <w:tcW w:type="dxa" w:w="5112"/>
            <w:tcMar>
              <w:top w:w="70" w:type="dxa"/>
              <w:start w:w="100" w:type="dxa"/>
              <w:bottom w:w="70" w:type="dxa"/>
              <w:end w:w="100" w:type="dxa"/>
            </w:tcMar>
            <w:vAlign w:val="center"/>
          </w:tcPr>
          <w:p>
            <w:pPr>
              <w:spacing w:after="0"/>
            </w:pPr>
            <w:r>
              <w:rPr>
                <w:sz w:val="19"/>
              </w:rPr>
              <w:t>Normalize Public Signals</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11</w:t>
            </w:r>
          </w:p>
        </w:tc>
        <w:tc>
          <w:tcPr>
            <w:tcW w:type="dxa" w:w="5112"/>
            <w:tcMar>
              <w:top w:w="70" w:type="dxa"/>
              <w:start w:w="100" w:type="dxa"/>
              <w:bottom w:w="70" w:type="dxa"/>
              <w:end w:w="100" w:type="dxa"/>
            </w:tcMar>
            <w:vAlign w:val="center"/>
          </w:tcPr>
          <w:p>
            <w:pPr>
              <w:spacing w:after="0"/>
            </w:pPr>
            <w:r>
              <w:rPr>
                <w:sz w:val="19"/>
              </w:rPr>
              <w:t>Sanitize Prospect Data For LLM</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12</w:t>
            </w:r>
          </w:p>
        </w:tc>
        <w:tc>
          <w:tcPr>
            <w:tcW w:type="dxa" w:w="5112"/>
            <w:tcMar>
              <w:top w:w="70" w:type="dxa"/>
              <w:start w:w="100" w:type="dxa"/>
              <w:bottom w:w="70" w:type="dxa"/>
              <w:end w:w="100" w:type="dxa"/>
            </w:tcMar>
            <w:vAlign w:val="center"/>
          </w:tcPr>
          <w:p>
            <w:pPr>
              <w:spacing w:after="0"/>
            </w:pPr>
            <w:r>
              <w:rPr>
                <w:sz w:val="19"/>
              </w:rPr>
              <w:t>Call OpenAI Pre-Audit</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13</w:t>
            </w:r>
          </w:p>
        </w:tc>
        <w:tc>
          <w:tcPr>
            <w:tcW w:type="dxa" w:w="5112"/>
            <w:tcMar>
              <w:top w:w="70" w:type="dxa"/>
              <w:start w:w="100" w:type="dxa"/>
              <w:bottom w:w="70" w:type="dxa"/>
              <w:end w:w="100" w:type="dxa"/>
            </w:tcMar>
            <w:vAlign w:val="center"/>
          </w:tcPr>
          <w:p>
            <w:pPr>
              <w:spacing w:after="0"/>
            </w:pPr>
            <w:r>
              <w:rPr>
                <w:sz w:val="19"/>
              </w:rPr>
              <w:t>Call OpenAI Problems Solutions</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14</w:t>
            </w:r>
          </w:p>
        </w:tc>
        <w:tc>
          <w:tcPr>
            <w:tcW w:type="dxa" w:w="5112"/>
            <w:tcMar>
              <w:top w:w="70" w:type="dxa"/>
              <w:start w:w="100" w:type="dxa"/>
              <w:bottom w:w="70" w:type="dxa"/>
              <w:end w:w="100" w:type="dxa"/>
            </w:tcMar>
            <w:vAlign w:val="center"/>
          </w:tcPr>
          <w:p>
            <w:pPr>
              <w:spacing w:after="0"/>
            </w:pPr>
            <w:r>
              <w:rPr>
                <w:sz w:val="19"/>
              </w:rPr>
              <w:t>Call OpenAI ROI</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15</w:t>
            </w:r>
          </w:p>
        </w:tc>
        <w:tc>
          <w:tcPr>
            <w:tcW w:type="dxa" w:w="5112"/>
            <w:tcMar>
              <w:top w:w="70" w:type="dxa"/>
              <w:start w:w="100" w:type="dxa"/>
              <w:bottom w:w="70" w:type="dxa"/>
              <w:end w:w="100" w:type="dxa"/>
            </w:tcMar>
            <w:vAlign w:val="center"/>
          </w:tcPr>
          <w:p>
            <w:pPr>
              <w:spacing w:after="0"/>
            </w:pPr>
            <w:r>
              <w:rPr>
                <w:sz w:val="19"/>
              </w:rPr>
              <w:t>Assemble Prospect Context</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16</w:t>
            </w:r>
          </w:p>
        </w:tc>
        <w:tc>
          <w:tcPr>
            <w:tcW w:type="dxa" w:w="5112"/>
            <w:tcMar>
              <w:top w:w="70" w:type="dxa"/>
              <w:start w:w="100" w:type="dxa"/>
              <w:bottom w:w="70" w:type="dxa"/>
              <w:end w:w="100" w:type="dxa"/>
            </w:tcMar>
            <w:vAlign w:val="center"/>
          </w:tcPr>
          <w:p>
            <w:pPr>
              <w:spacing w:after="0"/>
            </w:pPr>
            <w:r>
              <w:rPr>
                <w:sz w:val="19"/>
              </w:rPr>
              <w:t>Generate Executive Letter</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17</w:t>
            </w:r>
          </w:p>
        </w:tc>
        <w:tc>
          <w:tcPr>
            <w:tcW w:type="dxa" w:w="5112"/>
            <w:tcMar>
              <w:top w:w="70" w:type="dxa"/>
              <w:start w:w="100" w:type="dxa"/>
              <w:bottom w:w="70" w:type="dxa"/>
              <w:end w:w="100" w:type="dxa"/>
            </w:tcMar>
            <w:vAlign w:val="center"/>
          </w:tcPr>
          <w:p>
            <w:pPr>
              <w:spacing w:after="0"/>
            </w:pPr>
            <w:r>
              <w:rPr>
                <w:sz w:val="19"/>
              </w:rPr>
              <w:t>Generate Tailored Catalogue</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18</w:t>
            </w:r>
          </w:p>
        </w:tc>
        <w:tc>
          <w:tcPr>
            <w:tcW w:type="dxa" w:w="5112"/>
            <w:tcMar>
              <w:top w:w="70" w:type="dxa"/>
              <w:start w:w="100" w:type="dxa"/>
              <w:bottom w:w="70" w:type="dxa"/>
              <w:end w:w="100" w:type="dxa"/>
            </w:tcMar>
            <w:vAlign w:val="center"/>
          </w:tcPr>
          <w:p>
            <w:pPr>
              <w:spacing w:after="0"/>
            </w:pPr>
            <w:r>
              <w:rPr>
                <w:sz w:val="19"/>
              </w:rPr>
              <w:t>Generate Tailored Audit Form</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19</w:t>
            </w:r>
          </w:p>
        </w:tc>
        <w:tc>
          <w:tcPr>
            <w:tcW w:type="dxa" w:w="5112"/>
            <w:tcMar>
              <w:top w:w="70" w:type="dxa"/>
              <w:start w:w="100" w:type="dxa"/>
              <w:bottom w:w="70" w:type="dxa"/>
              <w:end w:w="100" w:type="dxa"/>
            </w:tcMar>
            <w:vAlign w:val="center"/>
          </w:tcPr>
          <w:p>
            <w:pPr>
              <w:spacing w:after="0"/>
            </w:pPr>
            <w:r>
              <w:rPr>
                <w:sz w:val="19"/>
              </w:rPr>
              <w:t>Generate Deck Brief</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20</w:t>
            </w:r>
          </w:p>
        </w:tc>
        <w:tc>
          <w:tcPr>
            <w:tcW w:type="dxa" w:w="5112"/>
            <w:tcMar>
              <w:top w:w="70" w:type="dxa"/>
              <w:start w:w="100" w:type="dxa"/>
              <w:bottom w:w="70" w:type="dxa"/>
              <w:end w:w="100" w:type="dxa"/>
            </w:tcMar>
            <w:vAlign w:val="center"/>
          </w:tcPr>
          <w:p>
            <w:pPr>
              <w:spacing w:after="0"/>
            </w:pPr>
            <w:r>
              <w:rPr>
                <w:sz w:val="19"/>
              </w:rPr>
              <w:t>Assemble Prospect Pack</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21</w:t>
            </w:r>
          </w:p>
        </w:tc>
        <w:tc>
          <w:tcPr>
            <w:tcW w:type="dxa" w:w="5112"/>
            <w:tcMar>
              <w:top w:w="70" w:type="dxa"/>
              <w:start w:w="100" w:type="dxa"/>
              <w:bottom w:w="70" w:type="dxa"/>
              <w:end w:w="100" w:type="dxa"/>
            </w:tcMar>
            <w:vAlign w:val="center"/>
          </w:tcPr>
          <w:p>
            <w:pPr>
              <w:spacing w:after="0"/>
            </w:pPr>
            <w:r>
              <w:rPr>
                <w:sz w:val="19"/>
              </w:rPr>
              <w:t>Store Pack In Supabase</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22</w:t>
            </w:r>
          </w:p>
        </w:tc>
        <w:tc>
          <w:tcPr>
            <w:tcW w:type="dxa" w:w="5112"/>
            <w:tcMar>
              <w:top w:w="70" w:type="dxa"/>
              <w:start w:w="100" w:type="dxa"/>
              <w:bottom w:w="70" w:type="dxa"/>
              <w:end w:w="100" w:type="dxa"/>
            </w:tcMar>
            <w:vAlign w:val="center"/>
          </w:tcPr>
          <w:p>
            <w:pPr>
              <w:spacing w:after="0"/>
            </w:pPr>
            <w:r>
              <w:rPr>
                <w:sz w:val="19"/>
              </w:rPr>
              <w:t>Build Approval Email</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23</w:t>
            </w:r>
          </w:p>
        </w:tc>
        <w:tc>
          <w:tcPr>
            <w:tcW w:type="dxa" w:w="5112"/>
            <w:tcMar>
              <w:top w:w="70" w:type="dxa"/>
              <w:start w:w="100" w:type="dxa"/>
              <w:bottom w:w="70" w:type="dxa"/>
              <w:end w:w="100" w:type="dxa"/>
            </w:tcMar>
            <w:vAlign w:val="center"/>
          </w:tcPr>
          <w:p>
            <w:pPr>
              <w:spacing w:after="0"/>
            </w:pPr>
            <w:r>
              <w:rPr>
                <w:sz w:val="19"/>
              </w:rPr>
              <w:t>Send Internal Approval Email</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24</w:t>
            </w:r>
          </w:p>
        </w:tc>
        <w:tc>
          <w:tcPr>
            <w:tcW w:type="dxa" w:w="5112"/>
            <w:tcMar>
              <w:top w:w="70" w:type="dxa"/>
              <w:start w:w="100" w:type="dxa"/>
              <w:bottom w:w="70" w:type="dxa"/>
              <w:end w:w="100" w:type="dxa"/>
            </w:tcMar>
            <w:vAlign w:val="center"/>
          </w:tcPr>
          <w:p>
            <w:pPr>
              <w:spacing w:after="0"/>
            </w:pPr>
            <w:r>
              <w:rPr>
                <w:sz w:val="19"/>
              </w:rPr>
              <w:t>Approval Webhook</w:t>
            </w:r>
          </w:p>
        </w:tc>
        <w:tc>
          <w:tcPr>
            <w:tcW w:type="dxa" w:w="2736"/>
            <w:tcMar>
              <w:top w:w="70" w:type="dxa"/>
              <w:start w:w="100" w:type="dxa"/>
              <w:bottom w:w="70" w:type="dxa"/>
              <w:end w:w="100" w:type="dxa"/>
            </w:tcMar>
            <w:vAlign w:val="center"/>
          </w:tcPr>
          <w:p>
            <w:pPr>
              <w:spacing w:after="0"/>
            </w:pPr>
            <w:r>
              <w:rPr>
                <w:sz w:val="19"/>
              </w:rPr>
              <w:t>webhook</w:t>
            </w:r>
          </w:p>
        </w:tc>
      </w:tr>
      <w:tr>
        <w:tc>
          <w:tcPr>
            <w:tcW w:type="dxa" w:w="1008"/>
            <w:tcMar>
              <w:top w:w="70" w:type="dxa"/>
              <w:start w:w="100" w:type="dxa"/>
              <w:bottom w:w="70" w:type="dxa"/>
              <w:end w:w="100" w:type="dxa"/>
            </w:tcMar>
            <w:vAlign w:val="center"/>
          </w:tcPr>
          <w:p>
            <w:pPr>
              <w:spacing w:after="0"/>
            </w:pPr>
            <w:r>
              <w:rPr>
                <w:sz w:val="19"/>
              </w:rPr>
              <w:t>25</w:t>
            </w:r>
          </w:p>
        </w:tc>
        <w:tc>
          <w:tcPr>
            <w:tcW w:type="dxa" w:w="5112"/>
            <w:tcMar>
              <w:top w:w="70" w:type="dxa"/>
              <w:start w:w="100" w:type="dxa"/>
              <w:bottom w:w="70" w:type="dxa"/>
              <w:end w:w="100" w:type="dxa"/>
            </w:tcMar>
            <w:vAlign w:val="center"/>
          </w:tcPr>
          <w:p>
            <w:pPr>
              <w:spacing w:after="0"/>
            </w:pPr>
            <w:r>
              <w:rPr>
                <w:sz w:val="19"/>
              </w:rPr>
              <w:t>Parse Approval Query</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26</w:t>
            </w:r>
          </w:p>
        </w:tc>
        <w:tc>
          <w:tcPr>
            <w:tcW w:type="dxa" w:w="5112"/>
            <w:tcMar>
              <w:top w:w="70" w:type="dxa"/>
              <w:start w:w="100" w:type="dxa"/>
              <w:bottom w:w="70" w:type="dxa"/>
              <w:end w:w="100" w:type="dxa"/>
            </w:tcMar>
            <w:vAlign w:val="center"/>
          </w:tcPr>
          <w:p>
            <w:pPr>
              <w:spacing w:after="0"/>
            </w:pPr>
            <w:r>
              <w:rPr>
                <w:sz w:val="19"/>
              </w:rPr>
              <w:t>Get Pack From Supabase</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27</w:t>
            </w:r>
          </w:p>
        </w:tc>
        <w:tc>
          <w:tcPr>
            <w:tcW w:type="dxa" w:w="5112"/>
            <w:tcMar>
              <w:top w:w="70" w:type="dxa"/>
              <w:start w:w="100" w:type="dxa"/>
              <w:bottom w:w="70" w:type="dxa"/>
              <w:end w:w="100" w:type="dxa"/>
            </w:tcMar>
            <w:vAlign w:val="center"/>
          </w:tcPr>
          <w:p>
            <w:pPr>
              <w:spacing w:after="0"/>
            </w:pPr>
            <w:r>
              <w:rPr>
                <w:sz w:val="19"/>
              </w:rPr>
              <w:t>Extract Pack Payload</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28</w:t>
            </w:r>
          </w:p>
        </w:tc>
        <w:tc>
          <w:tcPr>
            <w:tcW w:type="dxa" w:w="5112"/>
            <w:tcMar>
              <w:top w:w="70" w:type="dxa"/>
              <w:start w:w="100" w:type="dxa"/>
              <w:bottom w:w="70" w:type="dxa"/>
              <w:end w:w="100" w:type="dxa"/>
            </w:tcMar>
            <w:vAlign w:val="center"/>
          </w:tcPr>
          <w:p>
            <w:pPr>
              <w:spacing w:after="0"/>
            </w:pPr>
            <w:r>
              <w:rPr>
                <w:sz w:val="19"/>
              </w:rPr>
              <w:t>If Approved</w:t>
            </w:r>
          </w:p>
        </w:tc>
        <w:tc>
          <w:tcPr>
            <w:tcW w:type="dxa" w:w="2736"/>
            <w:tcMar>
              <w:top w:w="70" w:type="dxa"/>
              <w:start w:w="100" w:type="dxa"/>
              <w:bottom w:w="70" w:type="dxa"/>
              <w:end w:w="100" w:type="dxa"/>
            </w:tcMar>
            <w:vAlign w:val="center"/>
          </w:tcPr>
          <w:p>
            <w:pPr>
              <w:spacing w:after="0"/>
            </w:pPr>
            <w:r>
              <w:rPr>
                <w:sz w:val="19"/>
              </w:rPr>
              <w:t>if</w:t>
            </w:r>
          </w:p>
        </w:tc>
      </w:tr>
      <w:tr>
        <w:tc>
          <w:tcPr>
            <w:tcW w:type="dxa" w:w="1008"/>
            <w:tcMar>
              <w:top w:w="70" w:type="dxa"/>
              <w:start w:w="100" w:type="dxa"/>
              <w:bottom w:w="70" w:type="dxa"/>
              <w:end w:w="100" w:type="dxa"/>
            </w:tcMar>
            <w:vAlign w:val="center"/>
          </w:tcPr>
          <w:p>
            <w:pPr>
              <w:spacing w:after="0"/>
            </w:pPr>
            <w:r>
              <w:rPr>
                <w:sz w:val="19"/>
              </w:rPr>
              <w:t>29</w:t>
            </w:r>
          </w:p>
        </w:tc>
        <w:tc>
          <w:tcPr>
            <w:tcW w:type="dxa" w:w="5112"/>
            <w:tcMar>
              <w:top w:w="70" w:type="dxa"/>
              <w:start w:w="100" w:type="dxa"/>
              <w:bottom w:w="70" w:type="dxa"/>
              <w:end w:w="100" w:type="dxa"/>
            </w:tcMar>
            <w:vAlign w:val="center"/>
          </w:tcPr>
          <w:p>
            <w:pPr>
              <w:spacing w:after="0"/>
            </w:pPr>
            <w:r>
              <w:rPr>
                <w:sz w:val="19"/>
              </w:rPr>
              <w:t>Build Send Context</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30</w:t>
            </w:r>
          </w:p>
        </w:tc>
        <w:tc>
          <w:tcPr>
            <w:tcW w:type="dxa" w:w="5112"/>
            <w:tcMar>
              <w:top w:w="70" w:type="dxa"/>
              <w:start w:w="100" w:type="dxa"/>
              <w:bottom w:w="70" w:type="dxa"/>
              <w:end w:w="100" w:type="dxa"/>
            </w:tcMar>
            <w:vAlign w:val="center"/>
          </w:tcPr>
          <w:p>
            <w:pPr>
              <w:spacing w:after="0"/>
            </w:pPr>
            <w:r>
              <w:rPr>
                <w:sz w:val="19"/>
              </w:rPr>
              <w:t>If Ready To Send</w:t>
            </w:r>
          </w:p>
        </w:tc>
        <w:tc>
          <w:tcPr>
            <w:tcW w:type="dxa" w:w="2736"/>
            <w:tcMar>
              <w:top w:w="70" w:type="dxa"/>
              <w:start w:w="100" w:type="dxa"/>
              <w:bottom w:w="70" w:type="dxa"/>
              <w:end w:w="100" w:type="dxa"/>
            </w:tcMar>
            <w:vAlign w:val="center"/>
          </w:tcPr>
          <w:p>
            <w:pPr>
              <w:spacing w:after="0"/>
            </w:pPr>
            <w:r>
              <w:rPr>
                <w:sz w:val="19"/>
              </w:rPr>
              <w:t>if</w:t>
            </w:r>
          </w:p>
        </w:tc>
      </w:tr>
      <w:tr>
        <w:tc>
          <w:tcPr>
            <w:tcW w:type="dxa" w:w="1008"/>
            <w:tcMar>
              <w:top w:w="70" w:type="dxa"/>
              <w:start w:w="100" w:type="dxa"/>
              <w:bottom w:w="70" w:type="dxa"/>
              <w:end w:w="100" w:type="dxa"/>
            </w:tcMar>
            <w:vAlign w:val="center"/>
          </w:tcPr>
          <w:p>
            <w:pPr>
              <w:spacing w:after="0"/>
            </w:pPr>
            <w:r>
              <w:rPr>
                <w:sz w:val="19"/>
              </w:rPr>
              <w:t>31</w:t>
            </w:r>
          </w:p>
        </w:tc>
        <w:tc>
          <w:tcPr>
            <w:tcW w:type="dxa" w:w="5112"/>
            <w:tcMar>
              <w:top w:w="70" w:type="dxa"/>
              <w:start w:w="100" w:type="dxa"/>
              <w:bottom w:w="70" w:type="dxa"/>
              <w:end w:w="100" w:type="dxa"/>
            </w:tcMar>
            <w:vAlign w:val="center"/>
          </w:tcPr>
          <w:p>
            <w:pPr>
              <w:spacing w:after="0"/>
            </w:pPr>
            <w:r>
              <w:rPr>
                <w:sz w:val="19"/>
              </w:rPr>
              <w:t>Mark Pack Approved</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32</w:t>
            </w:r>
          </w:p>
        </w:tc>
        <w:tc>
          <w:tcPr>
            <w:tcW w:type="dxa" w:w="5112"/>
            <w:tcMar>
              <w:top w:w="70" w:type="dxa"/>
              <w:start w:w="100" w:type="dxa"/>
              <w:bottom w:w="70" w:type="dxa"/>
              <w:end w:w="100" w:type="dxa"/>
            </w:tcMar>
            <w:vAlign w:val="center"/>
          </w:tcPr>
          <w:p>
            <w:pPr>
              <w:spacing w:after="0"/>
            </w:pPr>
            <w:r>
              <w:rPr>
                <w:sz w:val="19"/>
              </w:rPr>
              <w:t>Send External Prospect Email</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33</w:t>
            </w:r>
          </w:p>
        </w:tc>
        <w:tc>
          <w:tcPr>
            <w:tcW w:type="dxa" w:w="5112"/>
            <w:tcMar>
              <w:top w:w="70" w:type="dxa"/>
              <w:start w:w="100" w:type="dxa"/>
              <w:bottom w:w="70" w:type="dxa"/>
              <w:end w:w="100" w:type="dxa"/>
            </w:tcMar>
            <w:vAlign w:val="center"/>
          </w:tcPr>
          <w:p>
            <w:pPr>
              <w:spacing w:after="0"/>
            </w:pPr>
            <w:r>
              <w:rPr>
                <w:sz w:val="19"/>
              </w:rPr>
              <w:t>Parse Send Result</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34</w:t>
            </w:r>
          </w:p>
        </w:tc>
        <w:tc>
          <w:tcPr>
            <w:tcW w:type="dxa" w:w="5112"/>
            <w:tcMar>
              <w:top w:w="70" w:type="dxa"/>
              <w:start w:w="100" w:type="dxa"/>
              <w:bottom w:w="70" w:type="dxa"/>
              <w:end w:w="100" w:type="dxa"/>
            </w:tcMar>
            <w:vAlign w:val="center"/>
          </w:tcPr>
          <w:p>
            <w:pPr>
              <w:spacing w:after="0"/>
            </w:pPr>
            <w:r>
              <w:rPr>
                <w:sz w:val="19"/>
              </w:rPr>
              <w:t>Mark Pack Sent</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35</w:t>
            </w:r>
          </w:p>
        </w:tc>
        <w:tc>
          <w:tcPr>
            <w:tcW w:type="dxa" w:w="5112"/>
            <w:tcMar>
              <w:top w:w="70" w:type="dxa"/>
              <w:start w:w="100" w:type="dxa"/>
              <w:bottom w:w="70" w:type="dxa"/>
              <w:end w:w="100" w:type="dxa"/>
            </w:tcMar>
            <w:vAlign w:val="center"/>
          </w:tcPr>
          <w:p>
            <w:pPr>
              <w:spacing w:after="0"/>
            </w:pPr>
            <w:r>
              <w:rPr>
                <w:sz w:val="19"/>
              </w:rPr>
              <w:t>Log Outreach Attempt</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36</w:t>
            </w:r>
          </w:p>
        </w:tc>
        <w:tc>
          <w:tcPr>
            <w:tcW w:type="dxa" w:w="5112"/>
            <w:tcMar>
              <w:top w:w="70" w:type="dxa"/>
              <w:start w:w="100" w:type="dxa"/>
              <w:bottom w:w="70" w:type="dxa"/>
              <w:end w:w="100" w:type="dxa"/>
            </w:tcMar>
            <w:vAlign w:val="center"/>
          </w:tcPr>
          <w:p>
            <w:pPr>
              <w:spacing w:after="0"/>
            </w:pPr>
            <w:r>
              <w:rPr>
                <w:sz w:val="19"/>
              </w:rPr>
              <w:t>Send Internal Sent Confirmation</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37</w:t>
            </w:r>
          </w:p>
        </w:tc>
        <w:tc>
          <w:tcPr>
            <w:tcW w:type="dxa" w:w="5112"/>
            <w:tcMar>
              <w:top w:w="70" w:type="dxa"/>
              <w:start w:w="100" w:type="dxa"/>
              <w:bottom w:w="70" w:type="dxa"/>
              <w:end w:w="100" w:type="dxa"/>
            </w:tcMar>
            <w:vAlign w:val="center"/>
          </w:tcPr>
          <w:p>
            <w:pPr>
              <w:spacing w:after="0"/>
            </w:pPr>
            <w:r>
              <w:rPr>
                <w:sz w:val="19"/>
              </w:rPr>
              <w:t>Mark Pack Approval Error</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38</w:t>
            </w:r>
          </w:p>
        </w:tc>
        <w:tc>
          <w:tcPr>
            <w:tcW w:type="dxa" w:w="5112"/>
            <w:tcMar>
              <w:top w:w="70" w:type="dxa"/>
              <w:start w:w="100" w:type="dxa"/>
              <w:bottom w:w="70" w:type="dxa"/>
              <w:end w:w="100" w:type="dxa"/>
            </w:tcMar>
            <w:vAlign w:val="center"/>
          </w:tcPr>
          <w:p>
            <w:pPr>
              <w:spacing w:after="0"/>
            </w:pPr>
            <w:r>
              <w:rPr>
                <w:sz w:val="19"/>
              </w:rPr>
              <w:t>Mark Pack Rejected</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39</w:t>
            </w:r>
          </w:p>
        </w:tc>
        <w:tc>
          <w:tcPr>
            <w:tcW w:type="dxa" w:w="5112"/>
            <w:tcMar>
              <w:top w:w="70" w:type="dxa"/>
              <w:start w:w="100" w:type="dxa"/>
              <w:bottom w:w="70" w:type="dxa"/>
              <w:end w:w="100" w:type="dxa"/>
            </w:tcMar>
            <w:vAlign w:val="center"/>
          </w:tcPr>
          <w:p>
            <w:pPr>
              <w:spacing w:after="0"/>
            </w:pPr>
            <w:r>
              <w:rPr>
                <w:sz w:val="19"/>
              </w:rPr>
              <w:t>Update Prospect Target Sent</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40</w:t>
            </w:r>
          </w:p>
        </w:tc>
        <w:tc>
          <w:tcPr>
            <w:tcW w:type="dxa" w:w="5112"/>
            <w:tcMar>
              <w:top w:w="70" w:type="dxa"/>
              <w:start w:w="100" w:type="dxa"/>
              <w:bottom w:w="70" w:type="dxa"/>
              <w:end w:w="100" w:type="dxa"/>
            </w:tcMar>
            <w:vAlign w:val="center"/>
          </w:tcPr>
          <w:p>
            <w:pPr>
              <w:spacing w:after="0"/>
            </w:pPr>
            <w:r>
              <w:rPr>
                <w:sz w:val="19"/>
              </w:rPr>
              <w:t>Update Prospect Target Approval Error</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41</w:t>
            </w:r>
          </w:p>
        </w:tc>
        <w:tc>
          <w:tcPr>
            <w:tcW w:type="dxa" w:w="5112"/>
            <w:tcMar>
              <w:top w:w="70" w:type="dxa"/>
              <w:start w:w="100" w:type="dxa"/>
              <w:bottom w:w="70" w:type="dxa"/>
              <w:end w:w="100" w:type="dxa"/>
            </w:tcMar>
            <w:vAlign w:val="center"/>
          </w:tcPr>
          <w:p>
            <w:pPr>
              <w:spacing w:after="0"/>
            </w:pPr>
            <w:r>
              <w:rPr>
                <w:sz w:val="19"/>
              </w:rPr>
              <w:t>Update Prospect Target Rejected</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42</w:t>
            </w:r>
          </w:p>
        </w:tc>
        <w:tc>
          <w:tcPr>
            <w:tcW w:type="dxa" w:w="5112"/>
            <w:tcMar>
              <w:top w:w="70" w:type="dxa"/>
              <w:start w:w="100" w:type="dxa"/>
              <w:bottom w:w="70" w:type="dxa"/>
              <w:end w:w="100" w:type="dxa"/>
            </w:tcMar>
            <w:vAlign w:val="center"/>
          </w:tcPr>
          <w:p>
            <w:pPr>
              <w:spacing w:after="0"/>
            </w:pPr>
            <w:r>
              <w:rPr>
                <w:sz w:val="19"/>
              </w:rPr>
              <w:t>Respond to Webhook</w:t>
            </w:r>
          </w:p>
        </w:tc>
        <w:tc>
          <w:tcPr>
            <w:tcW w:type="dxa" w:w="2736"/>
            <w:tcMar>
              <w:top w:w="70" w:type="dxa"/>
              <w:start w:w="100" w:type="dxa"/>
              <w:bottom w:w="70" w:type="dxa"/>
              <w:end w:w="100" w:type="dxa"/>
            </w:tcMar>
            <w:vAlign w:val="center"/>
          </w:tcPr>
          <w:p>
            <w:pPr>
              <w:spacing w:after="0"/>
            </w:pPr>
            <w:r>
              <w:rPr>
                <w:sz w:val="19"/>
              </w:rPr>
              <w:t>respondToWebhook</w:t>
            </w:r>
          </w:p>
        </w:tc>
      </w:tr>
      <w:tr>
        <w:tc>
          <w:tcPr>
            <w:tcW w:type="dxa" w:w="1008"/>
            <w:tcMar>
              <w:top w:w="70" w:type="dxa"/>
              <w:start w:w="100" w:type="dxa"/>
              <w:bottom w:w="70" w:type="dxa"/>
              <w:end w:w="100" w:type="dxa"/>
            </w:tcMar>
            <w:vAlign w:val="center"/>
          </w:tcPr>
          <w:p>
            <w:pPr>
              <w:spacing w:after="0"/>
            </w:pPr>
            <w:r>
              <w:rPr>
                <w:sz w:val="19"/>
              </w:rPr>
              <w:t>43</w:t>
            </w:r>
          </w:p>
        </w:tc>
        <w:tc>
          <w:tcPr>
            <w:tcW w:type="dxa" w:w="5112"/>
            <w:tcMar>
              <w:top w:w="70" w:type="dxa"/>
              <w:start w:w="100" w:type="dxa"/>
              <w:bottom w:w="70" w:type="dxa"/>
              <w:end w:w="100" w:type="dxa"/>
            </w:tcMar>
            <w:vAlign w:val="center"/>
          </w:tcPr>
          <w:p>
            <w:pPr>
              <w:spacing w:after="0"/>
            </w:pPr>
            <w:r>
              <w:rPr>
                <w:sz w:val="19"/>
              </w:rPr>
              <w:t>Respond Rejected</w:t>
            </w:r>
          </w:p>
        </w:tc>
        <w:tc>
          <w:tcPr>
            <w:tcW w:type="dxa" w:w="2736"/>
            <w:tcMar>
              <w:top w:w="70" w:type="dxa"/>
              <w:start w:w="100" w:type="dxa"/>
              <w:bottom w:w="70" w:type="dxa"/>
              <w:end w:w="100" w:type="dxa"/>
            </w:tcMar>
            <w:vAlign w:val="center"/>
          </w:tcPr>
          <w:p>
            <w:pPr>
              <w:spacing w:after="0"/>
            </w:pPr>
            <w:r>
              <w:rPr>
                <w:sz w:val="19"/>
              </w:rPr>
              <w:t>respondToWebhook</w:t>
            </w:r>
          </w:p>
        </w:tc>
      </w:tr>
      <w:tr>
        <w:tc>
          <w:tcPr>
            <w:tcW w:type="dxa" w:w="1008"/>
            <w:tcMar>
              <w:top w:w="70" w:type="dxa"/>
              <w:start w:w="100" w:type="dxa"/>
              <w:bottom w:w="70" w:type="dxa"/>
              <w:end w:w="100" w:type="dxa"/>
            </w:tcMar>
            <w:vAlign w:val="center"/>
          </w:tcPr>
          <w:p>
            <w:pPr>
              <w:spacing w:after="0"/>
            </w:pPr>
            <w:r>
              <w:rPr>
                <w:sz w:val="19"/>
              </w:rPr>
              <w:t>44</w:t>
            </w:r>
          </w:p>
        </w:tc>
        <w:tc>
          <w:tcPr>
            <w:tcW w:type="dxa" w:w="5112"/>
            <w:tcMar>
              <w:top w:w="70" w:type="dxa"/>
              <w:start w:w="100" w:type="dxa"/>
              <w:bottom w:w="70" w:type="dxa"/>
              <w:end w:w="100" w:type="dxa"/>
            </w:tcMar>
            <w:vAlign w:val="center"/>
          </w:tcPr>
          <w:p>
            <w:pPr>
              <w:spacing w:after="0"/>
            </w:pPr>
            <w:r>
              <w:rPr>
                <w:sz w:val="19"/>
              </w:rPr>
              <w:t>Respond Approval Error</w:t>
            </w:r>
          </w:p>
        </w:tc>
        <w:tc>
          <w:tcPr>
            <w:tcW w:type="dxa" w:w="2736"/>
            <w:tcMar>
              <w:top w:w="70" w:type="dxa"/>
              <w:start w:w="100" w:type="dxa"/>
              <w:bottom w:w="70" w:type="dxa"/>
              <w:end w:w="100" w:type="dxa"/>
            </w:tcMar>
            <w:vAlign w:val="center"/>
          </w:tcPr>
          <w:p>
            <w:pPr>
              <w:spacing w:after="0"/>
            </w:pPr>
            <w:r>
              <w:rPr>
                <w:sz w:val="19"/>
              </w:rPr>
              <w:t>respondToWebhook</w:t>
            </w:r>
          </w:p>
        </w:tc>
      </w:tr>
      <w:tr>
        <w:tc>
          <w:tcPr>
            <w:tcW w:type="dxa" w:w="1008"/>
            <w:tcMar>
              <w:top w:w="70" w:type="dxa"/>
              <w:start w:w="100" w:type="dxa"/>
              <w:bottom w:w="70" w:type="dxa"/>
              <w:end w:w="100" w:type="dxa"/>
            </w:tcMar>
            <w:vAlign w:val="center"/>
          </w:tcPr>
          <w:p>
            <w:pPr>
              <w:spacing w:after="0"/>
            </w:pPr>
            <w:r>
              <w:rPr>
                <w:sz w:val="19"/>
              </w:rPr>
              <w:t>45</w:t>
            </w:r>
          </w:p>
        </w:tc>
        <w:tc>
          <w:tcPr>
            <w:tcW w:type="dxa" w:w="5112"/>
            <w:tcMar>
              <w:top w:w="70" w:type="dxa"/>
              <w:start w:w="100" w:type="dxa"/>
              <w:bottom w:w="70" w:type="dxa"/>
              <w:end w:w="100" w:type="dxa"/>
            </w:tcMar>
            <w:vAlign w:val="center"/>
          </w:tcPr>
          <w:p>
            <w:pPr>
              <w:spacing w:after="0"/>
            </w:pPr>
            <w:r>
              <w:rPr>
                <w:sz w:val="19"/>
              </w:rPr>
              <w:t>Resolve Domain Catalogue</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46</w:t>
            </w:r>
          </w:p>
        </w:tc>
        <w:tc>
          <w:tcPr>
            <w:tcW w:type="dxa" w:w="5112"/>
            <w:tcMar>
              <w:top w:w="70" w:type="dxa"/>
              <w:start w:w="100" w:type="dxa"/>
              <w:bottom w:w="70" w:type="dxa"/>
              <w:end w:w="100" w:type="dxa"/>
            </w:tcMar>
            <w:vAlign w:val="center"/>
          </w:tcPr>
          <w:p>
            <w:pPr>
              <w:spacing w:after="0"/>
            </w:pPr>
            <w:r>
              <w:rPr>
                <w:sz w:val="19"/>
              </w:rPr>
              <w:t>Download Catalogue PDF</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47</w:t>
            </w:r>
          </w:p>
        </w:tc>
        <w:tc>
          <w:tcPr>
            <w:tcW w:type="dxa" w:w="5112"/>
            <w:tcMar>
              <w:top w:w="70" w:type="dxa"/>
              <w:start w:w="100" w:type="dxa"/>
              <w:bottom w:w="70" w:type="dxa"/>
              <w:end w:w="100" w:type="dxa"/>
            </w:tcMar>
            <w:vAlign w:val="center"/>
          </w:tcPr>
          <w:p>
            <w:pPr>
              <w:spacing w:after="0"/>
            </w:pPr>
            <w:r>
              <w:rPr>
                <w:sz w:val="19"/>
              </w:rPr>
              <w:t>Assemble Mail Attachments</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48</w:t>
            </w:r>
          </w:p>
        </w:tc>
        <w:tc>
          <w:tcPr>
            <w:tcW w:type="dxa" w:w="5112"/>
            <w:tcMar>
              <w:top w:w="70" w:type="dxa"/>
              <w:start w:w="100" w:type="dxa"/>
              <w:bottom w:w="70" w:type="dxa"/>
              <w:end w:w="100" w:type="dxa"/>
            </w:tcMar>
            <w:vAlign w:val="center"/>
          </w:tcPr>
          <w:p>
            <w:pPr>
              <w:spacing w:after="0"/>
            </w:pPr>
            <w:r>
              <w:rPr>
                <w:sz w:val="19"/>
              </w:rPr>
              <w:t>Build Catalogue Render Payload</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49</w:t>
            </w:r>
          </w:p>
        </w:tc>
        <w:tc>
          <w:tcPr>
            <w:tcW w:type="dxa" w:w="5112"/>
            <w:tcMar>
              <w:top w:w="70" w:type="dxa"/>
              <w:start w:w="100" w:type="dxa"/>
              <w:bottom w:w="70" w:type="dxa"/>
              <w:end w:w="100" w:type="dxa"/>
            </w:tcMar>
            <w:vAlign w:val="center"/>
          </w:tcPr>
          <w:p>
            <w:pPr>
              <w:spacing w:after="0"/>
            </w:pPr>
            <w:r>
              <w:rPr>
                <w:sz w:val="19"/>
              </w:rPr>
              <w:t>render Catalogue Artifact</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50</w:t>
            </w:r>
          </w:p>
        </w:tc>
        <w:tc>
          <w:tcPr>
            <w:tcW w:type="dxa" w:w="5112"/>
            <w:tcMar>
              <w:top w:w="70" w:type="dxa"/>
              <w:start w:w="100" w:type="dxa"/>
              <w:bottom w:w="70" w:type="dxa"/>
              <w:end w:w="100" w:type="dxa"/>
            </w:tcMar>
            <w:vAlign w:val="center"/>
          </w:tcPr>
          <w:p>
            <w:pPr>
              <w:spacing w:after="0"/>
            </w:pPr>
            <w:r>
              <w:rPr>
                <w:sz w:val="19"/>
              </w:rPr>
              <w:t>Merge Catalogue Artifact</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51</w:t>
            </w:r>
          </w:p>
        </w:tc>
        <w:tc>
          <w:tcPr>
            <w:tcW w:type="dxa" w:w="5112"/>
            <w:tcMar>
              <w:top w:w="70" w:type="dxa"/>
              <w:start w:w="100" w:type="dxa"/>
              <w:bottom w:w="70" w:type="dxa"/>
              <w:end w:w="100" w:type="dxa"/>
            </w:tcMar>
            <w:vAlign w:val="center"/>
          </w:tcPr>
          <w:p>
            <w:pPr>
              <w:spacing w:after="0"/>
            </w:pPr>
            <w:r>
              <w:rPr>
                <w:sz w:val="19"/>
              </w:rPr>
              <w:t>Build Deck Render Payload</w:t>
            </w:r>
          </w:p>
        </w:tc>
        <w:tc>
          <w:tcPr>
            <w:tcW w:type="dxa" w:w="2736"/>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52</w:t>
            </w:r>
          </w:p>
        </w:tc>
        <w:tc>
          <w:tcPr>
            <w:tcW w:type="dxa" w:w="5112"/>
            <w:tcMar>
              <w:top w:w="70" w:type="dxa"/>
              <w:start w:w="100" w:type="dxa"/>
              <w:bottom w:w="70" w:type="dxa"/>
              <w:end w:w="100" w:type="dxa"/>
            </w:tcMar>
            <w:vAlign w:val="center"/>
          </w:tcPr>
          <w:p>
            <w:pPr>
              <w:spacing w:after="0"/>
            </w:pPr>
            <w:r>
              <w:rPr>
                <w:sz w:val="19"/>
              </w:rPr>
              <w:t>Render Deck Artifact</w:t>
            </w:r>
          </w:p>
        </w:tc>
        <w:tc>
          <w:tcPr>
            <w:tcW w:type="dxa" w:w="2736"/>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53</w:t>
            </w:r>
          </w:p>
        </w:tc>
        <w:tc>
          <w:tcPr>
            <w:tcW w:type="dxa" w:w="5112"/>
            <w:tcMar>
              <w:top w:w="70" w:type="dxa"/>
              <w:start w:w="100" w:type="dxa"/>
              <w:bottom w:w="70" w:type="dxa"/>
              <w:end w:w="100" w:type="dxa"/>
            </w:tcMar>
            <w:vAlign w:val="center"/>
          </w:tcPr>
          <w:p>
            <w:pPr>
              <w:spacing w:after="0"/>
            </w:pPr>
            <w:r>
              <w:rPr>
                <w:sz w:val="19"/>
              </w:rPr>
              <w:t>Merge Deck Artifact</w:t>
            </w:r>
          </w:p>
        </w:tc>
        <w:tc>
          <w:tcPr>
            <w:tcW w:type="dxa" w:w="2736"/>
            <w:tcMar>
              <w:top w:w="70" w:type="dxa"/>
              <w:start w:w="100" w:type="dxa"/>
              <w:bottom w:w="70" w:type="dxa"/>
              <w:end w:w="100" w:type="dxa"/>
            </w:tcMar>
            <w:vAlign w:val="center"/>
          </w:tcPr>
          <w:p>
            <w:pPr>
              <w:spacing w:after="0"/>
            </w:pPr>
            <w:r>
              <w:rPr>
                <w:sz w:val="19"/>
              </w:rPr>
              <w:t>code</w:t>
            </w:r>
          </w:p>
        </w:tc>
      </w:tr>
    </w:tbl>
    <w:p>
      <w:pPr>
        <w:pStyle w:val="Heading1"/>
      </w:pPr>
      <w:r>
        <w:t>6. Nœuds critiques par bloc fonctionnel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72"/>
            <w:shd w:fill="D9E7F5"/>
            <w:tcMar>
              <w:top w:w="90" w:type="dxa"/>
              <w:start w:w="110" w:type="dxa"/>
              <w:bottom w:w="90" w:type="dxa"/>
              <w:end w:w="110" w:type="dxa"/>
            </w:tcMar>
            <w:vAlign w:val="center"/>
          </w:tcPr>
          <w:p>
            <w:pPr>
              <w:jc w:val="center"/>
            </w:pPr>
            <w:r>
              <w:rPr>
                <w:b/>
                <w:sz w:val="20"/>
              </w:rPr>
              <w:t>Bloc</w:t>
            </w:r>
          </w:p>
        </w:tc>
        <w:tc>
          <w:tcPr>
            <w:tcW w:type="dxa" w:w="3888"/>
            <w:shd w:fill="D9E7F5"/>
            <w:tcMar>
              <w:top w:w="90" w:type="dxa"/>
              <w:start w:w="110" w:type="dxa"/>
              <w:bottom w:w="90" w:type="dxa"/>
              <w:end w:w="110" w:type="dxa"/>
            </w:tcMar>
            <w:vAlign w:val="center"/>
          </w:tcPr>
          <w:p>
            <w:pPr>
              <w:jc w:val="center"/>
            </w:pPr>
            <w:r>
              <w:rPr>
                <w:b/>
                <w:sz w:val="20"/>
              </w:rPr>
              <w:t>Nœuds principaux</w:t>
            </w:r>
          </w:p>
        </w:tc>
        <w:tc>
          <w:tcPr>
            <w:tcW w:type="dxa" w:w="2880"/>
            <w:shd w:fill="D9E7F5"/>
            <w:tcMar>
              <w:top w:w="90" w:type="dxa"/>
              <w:start w:w="110" w:type="dxa"/>
              <w:bottom w:w="90" w:type="dxa"/>
              <w:end w:w="110" w:type="dxa"/>
            </w:tcMar>
            <w:vAlign w:val="center"/>
          </w:tcPr>
          <w:p>
            <w:pPr>
              <w:jc w:val="center"/>
            </w:pPr>
            <w:r>
              <w:rPr>
                <w:b/>
                <w:sz w:val="20"/>
              </w:rPr>
              <w:t>But</w:t>
            </w:r>
          </w:p>
        </w:tc>
      </w:tr>
      <w:tr>
        <w:tc>
          <w:tcPr>
            <w:tcW w:type="dxa" w:w="1872"/>
            <w:tcMar>
              <w:top w:w="70" w:type="dxa"/>
              <w:start w:w="100" w:type="dxa"/>
              <w:bottom w:w="70" w:type="dxa"/>
              <w:end w:w="100" w:type="dxa"/>
            </w:tcMar>
            <w:vAlign w:val="center"/>
          </w:tcPr>
          <w:p>
            <w:pPr>
              <w:spacing w:after="0"/>
            </w:pPr>
            <w:r>
              <w:rPr>
                <w:sz w:val="19"/>
              </w:rPr>
              <w:t>Qualification</w:t>
            </w:r>
          </w:p>
        </w:tc>
        <w:tc>
          <w:tcPr>
            <w:tcW w:type="dxa" w:w="3888"/>
            <w:tcMar>
              <w:top w:w="70" w:type="dxa"/>
              <w:start w:w="100" w:type="dxa"/>
              <w:bottom w:w="70" w:type="dxa"/>
              <w:end w:w="100" w:type="dxa"/>
            </w:tcMar>
            <w:vAlign w:val="center"/>
          </w:tcPr>
          <w:p>
            <w:pPr>
              <w:spacing w:after="0"/>
            </w:pPr>
            <w:r>
              <w:rPr>
                <w:sz w:val="19"/>
              </w:rPr>
              <w:t>Set Target, Build Source URLs, Normalize Public Signals</w:t>
            </w:r>
          </w:p>
        </w:tc>
        <w:tc>
          <w:tcPr>
            <w:tcW w:type="dxa" w:w="2880"/>
            <w:tcMar>
              <w:top w:w="70" w:type="dxa"/>
              <w:start w:w="100" w:type="dxa"/>
              <w:bottom w:w="70" w:type="dxa"/>
              <w:end w:w="100" w:type="dxa"/>
            </w:tcMar>
            <w:vAlign w:val="center"/>
          </w:tcPr>
          <w:p>
            <w:pPr>
              <w:spacing w:after="0"/>
            </w:pPr>
            <w:r>
              <w:rPr>
                <w:sz w:val="19"/>
              </w:rPr>
              <w:t>préparer le contexte prospect</w:t>
            </w:r>
          </w:p>
        </w:tc>
      </w:tr>
      <w:tr>
        <w:tc>
          <w:tcPr>
            <w:tcW w:type="dxa" w:w="1872"/>
            <w:tcMar>
              <w:top w:w="70" w:type="dxa"/>
              <w:start w:w="100" w:type="dxa"/>
              <w:bottom w:w="70" w:type="dxa"/>
              <w:end w:w="100" w:type="dxa"/>
            </w:tcMar>
            <w:vAlign w:val="center"/>
          </w:tcPr>
          <w:p>
            <w:pPr>
              <w:spacing w:after="0"/>
            </w:pPr>
            <w:r>
              <w:rPr>
                <w:sz w:val="19"/>
              </w:rPr>
              <w:t>Protection LLM</w:t>
            </w:r>
          </w:p>
        </w:tc>
        <w:tc>
          <w:tcPr>
            <w:tcW w:type="dxa" w:w="3888"/>
            <w:tcMar>
              <w:top w:w="70" w:type="dxa"/>
              <w:start w:w="100" w:type="dxa"/>
              <w:bottom w:w="70" w:type="dxa"/>
              <w:end w:w="100" w:type="dxa"/>
            </w:tcMar>
            <w:vAlign w:val="center"/>
          </w:tcPr>
          <w:p>
            <w:pPr>
              <w:spacing w:after="0"/>
            </w:pPr>
            <w:r>
              <w:rPr>
                <w:sz w:val="19"/>
              </w:rPr>
              <w:t>Sanitize Prospect Data For LLM</w:t>
            </w:r>
          </w:p>
        </w:tc>
        <w:tc>
          <w:tcPr>
            <w:tcW w:type="dxa" w:w="2880"/>
            <w:tcMar>
              <w:top w:w="70" w:type="dxa"/>
              <w:start w:w="100" w:type="dxa"/>
              <w:bottom w:w="70" w:type="dxa"/>
              <w:end w:w="100" w:type="dxa"/>
            </w:tcMar>
            <w:vAlign w:val="center"/>
          </w:tcPr>
          <w:p>
            <w:pPr>
              <w:spacing w:after="0"/>
            </w:pPr>
            <w:r>
              <w:rPr>
                <w:sz w:val="19"/>
              </w:rPr>
              <w:t>empêcher l’exposition des données sensibles</w:t>
            </w:r>
          </w:p>
        </w:tc>
      </w:tr>
      <w:tr>
        <w:tc>
          <w:tcPr>
            <w:tcW w:type="dxa" w:w="1872"/>
            <w:tcMar>
              <w:top w:w="70" w:type="dxa"/>
              <w:start w:w="100" w:type="dxa"/>
              <w:bottom w:w="70" w:type="dxa"/>
              <w:end w:w="100" w:type="dxa"/>
            </w:tcMar>
            <w:vAlign w:val="center"/>
          </w:tcPr>
          <w:p>
            <w:pPr>
              <w:spacing w:after="0"/>
            </w:pPr>
            <w:r>
              <w:rPr>
                <w:sz w:val="19"/>
              </w:rPr>
              <w:t>Génération</w:t>
            </w:r>
          </w:p>
        </w:tc>
        <w:tc>
          <w:tcPr>
            <w:tcW w:type="dxa" w:w="3888"/>
            <w:tcMar>
              <w:top w:w="70" w:type="dxa"/>
              <w:start w:w="100" w:type="dxa"/>
              <w:bottom w:w="70" w:type="dxa"/>
              <w:end w:w="100" w:type="dxa"/>
            </w:tcMar>
            <w:vAlign w:val="center"/>
          </w:tcPr>
          <w:p>
            <w:pPr>
              <w:spacing w:after="0"/>
            </w:pPr>
            <w:r>
              <w:rPr>
                <w:sz w:val="19"/>
              </w:rPr>
              <w:t>Call OpenAI..., Generate Executive Letter, Generate Tailored Catalogue</w:t>
            </w:r>
          </w:p>
        </w:tc>
        <w:tc>
          <w:tcPr>
            <w:tcW w:type="dxa" w:w="2880"/>
            <w:tcMar>
              <w:top w:w="70" w:type="dxa"/>
              <w:start w:w="100" w:type="dxa"/>
              <w:bottom w:w="70" w:type="dxa"/>
              <w:end w:w="100" w:type="dxa"/>
            </w:tcMar>
            <w:vAlign w:val="center"/>
          </w:tcPr>
          <w:p>
            <w:pPr>
              <w:spacing w:after="0"/>
            </w:pPr>
            <w:r>
              <w:rPr>
                <w:sz w:val="19"/>
              </w:rPr>
              <w:t>produire le pack commercial</w:t>
            </w:r>
          </w:p>
        </w:tc>
      </w:tr>
      <w:tr>
        <w:tc>
          <w:tcPr>
            <w:tcW w:type="dxa" w:w="1872"/>
            <w:tcMar>
              <w:top w:w="70" w:type="dxa"/>
              <w:start w:w="100" w:type="dxa"/>
              <w:bottom w:w="70" w:type="dxa"/>
              <w:end w:w="100" w:type="dxa"/>
            </w:tcMar>
            <w:vAlign w:val="center"/>
          </w:tcPr>
          <w:p>
            <w:pPr>
              <w:spacing w:after="0"/>
            </w:pPr>
            <w:r>
              <w:rPr>
                <w:sz w:val="19"/>
              </w:rPr>
              <w:t>Stockage</w:t>
            </w:r>
          </w:p>
        </w:tc>
        <w:tc>
          <w:tcPr>
            <w:tcW w:type="dxa" w:w="3888"/>
            <w:tcMar>
              <w:top w:w="70" w:type="dxa"/>
              <w:start w:w="100" w:type="dxa"/>
              <w:bottom w:w="70" w:type="dxa"/>
              <w:end w:w="100" w:type="dxa"/>
            </w:tcMar>
            <w:vAlign w:val="center"/>
          </w:tcPr>
          <w:p>
            <w:pPr>
              <w:spacing w:after="0"/>
            </w:pPr>
            <w:r>
              <w:rPr>
                <w:sz w:val="19"/>
              </w:rPr>
              <w:t>Store Pack In Supabase</w:t>
            </w:r>
          </w:p>
        </w:tc>
        <w:tc>
          <w:tcPr>
            <w:tcW w:type="dxa" w:w="2880"/>
            <w:tcMar>
              <w:top w:w="70" w:type="dxa"/>
              <w:start w:w="100" w:type="dxa"/>
              <w:bottom w:w="70" w:type="dxa"/>
              <w:end w:w="100" w:type="dxa"/>
            </w:tcMar>
            <w:vAlign w:val="center"/>
          </w:tcPr>
          <w:p>
            <w:pPr>
              <w:spacing w:after="0"/>
            </w:pPr>
            <w:r>
              <w:rPr>
                <w:sz w:val="19"/>
              </w:rPr>
              <w:t>sauvegarder le pack avant toute approbation</w:t>
            </w:r>
          </w:p>
        </w:tc>
      </w:tr>
      <w:tr>
        <w:tc>
          <w:tcPr>
            <w:tcW w:type="dxa" w:w="1872"/>
            <w:tcMar>
              <w:top w:w="70" w:type="dxa"/>
              <w:start w:w="100" w:type="dxa"/>
              <w:bottom w:w="70" w:type="dxa"/>
              <w:end w:w="100" w:type="dxa"/>
            </w:tcMar>
            <w:vAlign w:val="center"/>
          </w:tcPr>
          <w:p>
            <w:pPr>
              <w:spacing w:after="0"/>
            </w:pPr>
            <w:r>
              <w:rPr>
                <w:sz w:val="19"/>
              </w:rPr>
              <w:t>Validation</w:t>
            </w:r>
          </w:p>
        </w:tc>
        <w:tc>
          <w:tcPr>
            <w:tcW w:type="dxa" w:w="3888"/>
            <w:tcMar>
              <w:top w:w="70" w:type="dxa"/>
              <w:start w:w="100" w:type="dxa"/>
              <w:bottom w:w="70" w:type="dxa"/>
              <w:end w:w="100" w:type="dxa"/>
            </w:tcMar>
            <w:vAlign w:val="center"/>
          </w:tcPr>
          <w:p>
            <w:pPr>
              <w:spacing w:after="0"/>
            </w:pPr>
            <w:r>
              <w:rPr>
                <w:sz w:val="19"/>
              </w:rPr>
              <w:t>Build Approval Email, Send Internal Approval Email, Approval Webhook</w:t>
            </w:r>
          </w:p>
        </w:tc>
        <w:tc>
          <w:tcPr>
            <w:tcW w:type="dxa" w:w="2880"/>
            <w:tcMar>
              <w:top w:w="70" w:type="dxa"/>
              <w:start w:w="100" w:type="dxa"/>
              <w:bottom w:w="70" w:type="dxa"/>
              <w:end w:w="100" w:type="dxa"/>
            </w:tcMar>
            <w:vAlign w:val="center"/>
          </w:tcPr>
          <w:p>
            <w:pPr>
              <w:spacing w:after="0"/>
            </w:pPr>
            <w:r>
              <w:rPr>
                <w:sz w:val="19"/>
              </w:rPr>
              <w:t>faire approuver le pack en interne</w:t>
            </w:r>
          </w:p>
        </w:tc>
      </w:tr>
      <w:tr>
        <w:tc>
          <w:tcPr>
            <w:tcW w:type="dxa" w:w="1872"/>
            <w:tcMar>
              <w:top w:w="70" w:type="dxa"/>
              <w:start w:w="100" w:type="dxa"/>
              <w:bottom w:w="70" w:type="dxa"/>
              <w:end w:w="100" w:type="dxa"/>
            </w:tcMar>
            <w:vAlign w:val="center"/>
          </w:tcPr>
          <w:p>
            <w:pPr>
              <w:spacing w:after="0"/>
            </w:pPr>
            <w:r>
              <w:rPr>
                <w:sz w:val="19"/>
              </w:rPr>
              <w:t>Envoi</w:t>
            </w:r>
          </w:p>
        </w:tc>
        <w:tc>
          <w:tcPr>
            <w:tcW w:type="dxa" w:w="3888"/>
            <w:tcMar>
              <w:top w:w="70" w:type="dxa"/>
              <w:start w:w="100" w:type="dxa"/>
              <w:bottom w:w="70" w:type="dxa"/>
              <w:end w:w="100" w:type="dxa"/>
            </w:tcMar>
            <w:vAlign w:val="center"/>
          </w:tcPr>
          <w:p>
            <w:pPr>
              <w:spacing w:after="0"/>
            </w:pPr>
            <w:r>
              <w:rPr>
                <w:sz w:val="19"/>
              </w:rPr>
              <w:t>Build Send Context, If Ready To Send, Send External Prospect Email</w:t>
            </w:r>
          </w:p>
        </w:tc>
        <w:tc>
          <w:tcPr>
            <w:tcW w:type="dxa" w:w="2880"/>
            <w:tcMar>
              <w:top w:w="70" w:type="dxa"/>
              <w:start w:w="100" w:type="dxa"/>
              <w:bottom w:w="70" w:type="dxa"/>
              <w:end w:w="100" w:type="dxa"/>
            </w:tcMar>
            <w:vAlign w:val="center"/>
          </w:tcPr>
          <w:p>
            <w:pPr>
              <w:spacing w:after="0"/>
            </w:pPr>
            <w:r>
              <w:rPr>
                <w:sz w:val="19"/>
              </w:rPr>
              <w:t>expédier le message si le pack est complet</w:t>
            </w:r>
          </w:p>
        </w:tc>
      </w:tr>
      <w:tr>
        <w:tc>
          <w:tcPr>
            <w:tcW w:type="dxa" w:w="1872"/>
            <w:tcMar>
              <w:top w:w="70" w:type="dxa"/>
              <w:start w:w="100" w:type="dxa"/>
              <w:bottom w:w="70" w:type="dxa"/>
              <w:end w:w="100" w:type="dxa"/>
            </w:tcMar>
            <w:vAlign w:val="center"/>
          </w:tcPr>
          <w:p>
            <w:pPr>
              <w:spacing w:after="0"/>
            </w:pPr>
            <w:r>
              <w:rPr>
                <w:sz w:val="19"/>
              </w:rPr>
              <w:t>CRM</w:t>
            </w:r>
          </w:p>
        </w:tc>
        <w:tc>
          <w:tcPr>
            <w:tcW w:type="dxa" w:w="3888"/>
            <w:tcMar>
              <w:top w:w="70" w:type="dxa"/>
              <w:start w:w="100" w:type="dxa"/>
              <w:bottom w:w="70" w:type="dxa"/>
              <w:end w:w="100" w:type="dxa"/>
            </w:tcMar>
            <w:vAlign w:val="center"/>
          </w:tcPr>
          <w:p>
            <w:pPr>
              <w:spacing w:after="0"/>
            </w:pPr>
            <w:r>
              <w:rPr>
                <w:sz w:val="19"/>
              </w:rPr>
              <w:t>Update Prospect Target Sent, Update Prospect Target Approval Error, Update Prospect Target Rejected</w:t>
            </w:r>
          </w:p>
        </w:tc>
        <w:tc>
          <w:tcPr>
            <w:tcW w:type="dxa" w:w="2880"/>
            <w:tcMar>
              <w:top w:w="70" w:type="dxa"/>
              <w:start w:w="100" w:type="dxa"/>
              <w:bottom w:w="70" w:type="dxa"/>
              <w:end w:w="100" w:type="dxa"/>
            </w:tcMar>
            <w:vAlign w:val="center"/>
          </w:tcPr>
          <w:p>
            <w:pPr>
              <w:spacing w:after="0"/>
            </w:pPr>
            <w:r>
              <w:rPr>
                <w:sz w:val="19"/>
              </w:rPr>
              <w:t>réécrire le statut métier du prospect</w:t>
            </w:r>
          </w:p>
        </w:tc>
      </w:tr>
      <w:tr>
        <w:tc>
          <w:tcPr>
            <w:tcW w:type="dxa" w:w="1872"/>
            <w:tcMar>
              <w:top w:w="70" w:type="dxa"/>
              <w:start w:w="100" w:type="dxa"/>
              <w:bottom w:w="70" w:type="dxa"/>
              <w:end w:w="100" w:type="dxa"/>
            </w:tcMar>
            <w:vAlign w:val="center"/>
          </w:tcPr>
          <w:p>
            <w:pPr>
              <w:spacing w:after="0"/>
            </w:pPr>
            <w:r>
              <w:rPr>
                <w:sz w:val="19"/>
              </w:rPr>
              <w:t>Pièces jointes</w:t>
            </w:r>
          </w:p>
        </w:tc>
        <w:tc>
          <w:tcPr>
            <w:tcW w:type="dxa" w:w="3888"/>
            <w:tcMar>
              <w:top w:w="70" w:type="dxa"/>
              <w:start w:w="100" w:type="dxa"/>
              <w:bottom w:w="70" w:type="dxa"/>
              <w:end w:w="100" w:type="dxa"/>
            </w:tcMar>
            <w:vAlign w:val="center"/>
          </w:tcPr>
          <w:p>
            <w:pPr>
              <w:spacing w:after="0"/>
            </w:pPr>
            <w:r>
              <w:rPr>
                <w:sz w:val="19"/>
              </w:rPr>
              <w:t>Resolve Domain Catalogue, Download Catalogue PDF, Build Deck Render Payload, Render Deck Artifact</w:t>
            </w:r>
          </w:p>
        </w:tc>
        <w:tc>
          <w:tcPr>
            <w:tcW w:type="dxa" w:w="2880"/>
            <w:tcMar>
              <w:top w:w="70" w:type="dxa"/>
              <w:start w:w="100" w:type="dxa"/>
              <w:bottom w:w="70" w:type="dxa"/>
              <w:end w:w="100" w:type="dxa"/>
            </w:tcMar>
            <w:vAlign w:val="center"/>
          </w:tcPr>
          <w:p>
            <w:pPr>
              <w:spacing w:after="0"/>
            </w:pPr>
            <w:r>
              <w:rPr>
                <w:sz w:val="19"/>
              </w:rPr>
              <w:t>préparer le catalogue PDF et le deck PPTX</w:t>
            </w:r>
          </w:p>
        </w:tc>
      </w:tr>
    </w:tbl>
    <w:p>
      <w:pPr>
        <w:pStyle w:val="Heading1"/>
      </w:pPr>
      <w:r>
        <w:t>7. Séquence utilisateur à retenir</w:t>
      </w:r>
    </w:p>
    <w:p>
      <w:pPr>
        <w:pStyle w:val="ListNumber"/>
        <w:spacing w:after="40"/>
      </w:pPr>
      <w:r>
        <w:t>Lancer le workflow avec un prospect ou le recevoir depuis la V4.</w:t>
      </w:r>
    </w:p>
    <w:p>
      <w:pPr>
        <w:pStyle w:val="ListNumber"/>
        <w:spacing w:after="40"/>
      </w:pPr>
      <w:r>
        <w:t>Vérifier que Set Target contient bien organization_name, website et target_email.</w:t>
      </w:r>
    </w:p>
    <w:p>
      <w:pPr>
        <w:pStyle w:val="ListNumber"/>
        <w:spacing w:after="40"/>
      </w:pPr>
      <w:r>
        <w:t>Laisser la chaîne de génération produire le pack prospect.</w:t>
      </w:r>
    </w:p>
    <w:p>
      <w:pPr>
        <w:pStyle w:val="ListNumber"/>
        <w:spacing w:after="40"/>
      </w:pPr>
      <w:r>
        <w:t>Contrôler que Store Pack In Supabase enregistre bien un pack_id.</w:t>
      </w:r>
    </w:p>
    <w:p>
      <w:pPr>
        <w:pStyle w:val="ListNumber"/>
        <w:spacing w:after="40"/>
      </w:pPr>
      <w:r>
        <w:t>Recevoir l’e-mail d’approbation interne et cliquer sur Approuver ou Rejeter.</w:t>
      </w:r>
    </w:p>
    <w:p>
      <w:pPr>
        <w:pStyle w:val="ListNumber"/>
        <w:spacing w:after="40"/>
      </w:pPr>
      <w:r>
        <w:t>En cas d’approbation, laisser Build Send Context et If Ready To Send contrôler la validité du départ.</w:t>
      </w:r>
    </w:p>
    <w:p>
      <w:pPr>
        <w:pStyle w:val="ListNumber"/>
        <w:spacing w:after="40"/>
      </w:pPr>
      <w:r>
        <w:t>Confirmer que le courrier est envoyé et que les pièces jointes sont bien assemblées.</w:t>
      </w:r>
    </w:p>
    <w:p>
      <w:pPr>
        <w:pStyle w:val="ListNumber"/>
        <w:spacing w:after="40"/>
      </w:pPr>
      <w:r>
        <w:t>Contrôler enfin la mise à jour des tables Supabase et du statut CRM du prospect.</w:t>
      </w:r>
    </w:p>
    <w:p>
      <w:pPr>
        <w:pStyle w:val="Heading1"/>
      </w:pPr>
      <w:r>
        <w:t>8. Branchement d’approbation et d’envoi</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D9E7F5"/>
            <w:tcMar>
              <w:top w:w="90" w:type="dxa"/>
              <w:start w:w="110" w:type="dxa"/>
              <w:bottom w:w="90" w:type="dxa"/>
              <w:end w:w="110" w:type="dxa"/>
            </w:tcMar>
            <w:vAlign w:val="center"/>
          </w:tcPr>
          <w:p>
            <w:pPr>
              <w:jc w:val="center"/>
            </w:pPr>
            <w:r>
              <w:rPr>
                <w:b/>
                <w:sz w:val="20"/>
              </w:rPr>
              <w:t>Nœud</w:t>
            </w:r>
          </w:p>
        </w:tc>
        <w:tc>
          <w:tcPr>
            <w:tcW w:type="dxa" w:w="6192"/>
            <w:shd w:fill="D9E7F5"/>
            <w:tcMar>
              <w:top w:w="90" w:type="dxa"/>
              <w:start w:w="110" w:type="dxa"/>
              <w:bottom w:w="90" w:type="dxa"/>
              <w:end w:w="110" w:type="dxa"/>
            </w:tcMar>
            <w:vAlign w:val="center"/>
          </w:tcPr>
          <w:p>
            <w:pPr>
              <w:jc w:val="center"/>
            </w:pPr>
            <w:r>
              <w:rPr>
                <w:b/>
                <w:sz w:val="20"/>
              </w:rPr>
              <w:t>Contrôle utilisateur à faire</w:t>
            </w:r>
          </w:p>
        </w:tc>
      </w:tr>
      <w:tr>
        <w:tc>
          <w:tcPr>
            <w:tcW w:type="dxa" w:w="2880"/>
            <w:tcMar>
              <w:top w:w="70" w:type="dxa"/>
              <w:start w:w="100" w:type="dxa"/>
              <w:bottom w:w="70" w:type="dxa"/>
              <w:end w:w="100" w:type="dxa"/>
            </w:tcMar>
            <w:vAlign w:val="center"/>
          </w:tcPr>
          <w:p>
            <w:pPr>
              <w:spacing w:after="0"/>
            </w:pPr>
            <w:r>
              <w:rPr>
                <w:sz w:val="19"/>
              </w:rPr>
              <w:t>Approval Webhook</w:t>
            </w:r>
          </w:p>
        </w:tc>
        <w:tc>
          <w:tcPr>
            <w:tcW w:type="dxa" w:w="6192"/>
            <w:tcMar>
              <w:top w:w="70" w:type="dxa"/>
              <w:start w:w="100" w:type="dxa"/>
              <w:bottom w:w="70" w:type="dxa"/>
              <w:end w:w="100" w:type="dxa"/>
            </w:tcMar>
            <w:vAlign w:val="center"/>
          </w:tcPr>
          <w:p>
            <w:pPr>
              <w:spacing w:after="0"/>
            </w:pPr>
            <w:r>
              <w:rPr>
                <w:sz w:val="19"/>
              </w:rPr>
              <w:t>workflow activé et URL accessible publiquement</w:t>
            </w:r>
          </w:p>
        </w:tc>
      </w:tr>
      <w:tr>
        <w:tc>
          <w:tcPr>
            <w:tcW w:type="dxa" w:w="2880"/>
            <w:tcMar>
              <w:top w:w="70" w:type="dxa"/>
              <w:start w:w="100" w:type="dxa"/>
              <w:bottom w:w="70" w:type="dxa"/>
              <w:end w:w="100" w:type="dxa"/>
            </w:tcMar>
            <w:vAlign w:val="center"/>
          </w:tcPr>
          <w:p>
            <w:pPr>
              <w:spacing w:after="0"/>
            </w:pPr>
            <w:r>
              <w:rPr>
                <w:sz w:val="19"/>
              </w:rPr>
              <w:t>Parse Approval Query</w:t>
            </w:r>
          </w:p>
        </w:tc>
        <w:tc>
          <w:tcPr>
            <w:tcW w:type="dxa" w:w="6192"/>
            <w:tcMar>
              <w:top w:w="70" w:type="dxa"/>
              <w:start w:w="100" w:type="dxa"/>
              <w:bottom w:w="70" w:type="dxa"/>
              <w:end w:w="100" w:type="dxa"/>
            </w:tcMar>
            <w:vAlign w:val="center"/>
          </w:tcPr>
          <w:p>
            <w:pPr>
              <w:spacing w:after="0"/>
            </w:pPr>
            <w:r>
              <w:rPr>
                <w:sz w:val="19"/>
              </w:rPr>
              <w:t>pack_id et decision correctement lus dans la query string</w:t>
            </w:r>
          </w:p>
        </w:tc>
      </w:tr>
      <w:tr>
        <w:tc>
          <w:tcPr>
            <w:tcW w:type="dxa" w:w="2880"/>
            <w:tcMar>
              <w:top w:w="70" w:type="dxa"/>
              <w:start w:w="100" w:type="dxa"/>
              <w:bottom w:w="70" w:type="dxa"/>
              <w:end w:w="100" w:type="dxa"/>
            </w:tcMar>
            <w:vAlign w:val="center"/>
          </w:tcPr>
          <w:p>
            <w:pPr>
              <w:spacing w:after="0"/>
            </w:pPr>
            <w:r>
              <w:rPr>
                <w:sz w:val="19"/>
              </w:rPr>
              <w:t>Get Pack From Supabase</w:t>
            </w:r>
          </w:p>
        </w:tc>
        <w:tc>
          <w:tcPr>
            <w:tcW w:type="dxa" w:w="6192"/>
            <w:tcMar>
              <w:top w:w="70" w:type="dxa"/>
              <w:start w:w="100" w:type="dxa"/>
              <w:bottom w:w="70" w:type="dxa"/>
              <w:end w:w="100" w:type="dxa"/>
            </w:tcMar>
            <w:vAlign w:val="center"/>
          </w:tcPr>
          <w:p>
            <w:pPr>
              <w:spacing w:after="0"/>
            </w:pPr>
            <w:r>
              <w:rPr>
                <w:sz w:val="19"/>
              </w:rPr>
              <w:t>headers apikey et Authorization avec la service role key</w:t>
            </w:r>
          </w:p>
        </w:tc>
      </w:tr>
      <w:tr>
        <w:tc>
          <w:tcPr>
            <w:tcW w:type="dxa" w:w="2880"/>
            <w:tcMar>
              <w:top w:w="70" w:type="dxa"/>
              <w:start w:w="100" w:type="dxa"/>
              <w:bottom w:w="70" w:type="dxa"/>
              <w:end w:w="100" w:type="dxa"/>
            </w:tcMar>
            <w:vAlign w:val="center"/>
          </w:tcPr>
          <w:p>
            <w:pPr>
              <w:spacing w:after="0"/>
            </w:pPr>
            <w:r>
              <w:rPr>
                <w:sz w:val="19"/>
              </w:rPr>
              <w:t>Extract Pack Payload</w:t>
            </w:r>
          </w:p>
        </w:tc>
        <w:tc>
          <w:tcPr>
            <w:tcW w:type="dxa" w:w="6192"/>
            <w:tcMar>
              <w:top w:w="70" w:type="dxa"/>
              <w:start w:w="100" w:type="dxa"/>
              <w:bottom w:w="70" w:type="dxa"/>
              <w:end w:w="100" w:type="dxa"/>
            </w:tcMar>
            <w:vAlign w:val="center"/>
          </w:tcPr>
          <w:p>
            <w:pPr>
              <w:spacing w:after="0"/>
            </w:pPr>
            <w:r>
              <w:rPr>
                <w:sz w:val="19"/>
              </w:rPr>
              <w:t>reconstruction correcte du payload et de executive_letter_html</w:t>
            </w:r>
          </w:p>
        </w:tc>
      </w:tr>
      <w:tr>
        <w:tc>
          <w:tcPr>
            <w:tcW w:type="dxa" w:w="2880"/>
            <w:tcMar>
              <w:top w:w="70" w:type="dxa"/>
              <w:start w:w="100" w:type="dxa"/>
              <w:bottom w:w="70" w:type="dxa"/>
              <w:end w:w="100" w:type="dxa"/>
            </w:tcMar>
            <w:vAlign w:val="center"/>
          </w:tcPr>
          <w:p>
            <w:pPr>
              <w:spacing w:after="0"/>
            </w:pPr>
            <w:r>
              <w:rPr>
                <w:sz w:val="19"/>
              </w:rPr>
              <w:t>Build Send Context</w:t>
            </w:r>
          </w:p>
        </w:tc>
        <w:tc>
          <w:tcPr>
            <w:tcW w:type="dxa" w:w="6192"/>
            <w:tcMar>
              <w:top w:w="70" w:type="dxa"/>
              <w:start w:w="100" w:type="dxa"/>
              <w:bottom w:w="70" w:type="dxa"/>
              <w:end w:w="100" w:type="dxa"/>
            </w:tcMar>
            <w:vAlign w:val="center"/>
          </w:tcPr>
          <w:p>
            <w:pPr>
              <w:spacing w:after="0"/>
            </w:pPr>
            <w:r>
              <w:rPr>
                <w:sz w:val="19"/>
              </w:rPr>
              <w:t>can_send = true seulement si e-mail cible et courrier existent</w:t>
            </w:r>
          </w:p>
        </w:tc>
      </w:tr>
      <w:tr>
        <w:tc>
          <w:tcPr>
            <w:tcW w:type="dxa" w:w="2880"/>
            <w:tcMar>
              <w:top w:w="70" w:type="dxa"/>
              <w:start w:w="100" w:type="dxa"/>
              <w:bottom w:w="70" w:type="dxa"/>
              <w:end w:w="100" w:type="dxa"/>
            </w:tcMar>
            <w:vAlign w:val="center"/>
          </w:tcPr>
          <w:p>
            <w:pPr>
              <w:spacing w:after="0"/>
            </w:pPr>
            <w:r>
              <w:rPr>
                <w:sz w:val="19"/>
              </w:rPr>
              <w:t>If Ready To Send</w:t>
            </w:r>
          </w:p>
        </w:tc>
        <w:tc>
          <w:tcPr>
            <w:tcW w:type="dxa" w:w="6192"/>
            <w:tcMar>
              <w:top w:w="70" w:type="dxa"/>
              <w:start w:w="100" w:type="dxa"/>
              <w:bottom w:w="70" w:type="dxa"/>
              <w:end w:w="100" w:type="dxa"/>
            </w:tcMar>
            <w:vAlign w:val="center"/>
          </w:tcPr>
          <w:p>
            <w:pPr>
              <w:spacing w:after="0"/>
            </w:pPr>
            <w:r>
              <w:rPr>
                <w:sz w:val="19"/>
              </w:rPr>
              <w:t>branche true vers Mark Pack Approved, branche false vers Mark Pack Approval Error</w:t>
            </w:r>
          </w:p>
        </w:tc>
      </w:tr>
    </w:tbl>
    <w:p>
      <w:pPr>
        <w:pStyle w:val="Heading1"/>
      </w:pPr>
      <w:r>
        <w:t>9. Bloc pièces jointes et rendu</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008"/>
            <w:shd w:fill="D9E7F5"/>
            <w:tcMar>
              <w:top w:w="90" w:type="dxa"/>
              <w:start w:w="110" w:type="dxa"/>
              <w:bottom w:w="90" w:type="dxa"/>
              <w:end w:w="110" w:type="dxa"/>
            </w:tcMar>
            <w:vAlign w:val="center"/>
          </w:tcPr>
          <w:p>
            <w:pPr>
              <w:jc w:val="center"/>
            </w:pPr>
            <w:r>
              <w:rPr>
                <w:b/>
                <w:sz w:val="20"/>
              </w:rPr>
              <w:t>Ordre</w:t>
            </w:r>
          </w:p>
        </w:tc>
        <w:tc>
          <w:tcPr>
            <w:tcW w:type="dxa" w:w="5328"/>
            <w:shd w:fill="D9E7F5"/>
            <w:tcMar>
              <w:top w:w="90" w:type="dxa"/>
              <w:start w:w="110" w:type="dxa"/>
              <w:bottom w:w="90" w:type="dxa"/>
              <w:end w:w="110" w:type="dxa"/>
            </w:tcMar>
            <w:vAlign w:val="center"/>
          </w:tcPr>
          <w:p>
            <w:pPr>
              <w:jc w:val="center"/>
            </w:pPr>
            <w:r>
              <w:rPr>
                <w:b/>
                <w:sz w:val="20"/>
              </w:rPr>
              <w:t>Nœud</w:t>
            </w:r>
          </w:p>
        </w:tc>
        <w:tc>
          <w:tcPr>
            <w:tcW w:type="dxa" w:w="2520"/>
            <w:shd w:fill="D9E7F5"/>
            <w:tcMar>
              <w:top w:w="90" w:type="dxa"/>
              <w:start w:w="110" w:type="dxa"/>
              <w:bottom w:w="90" w:type="dxa"/>
              <w:end w:w="110" w:type="dxa"/>
            </w:tcMar>
            <w:vAlign w:val="center"/>
          </w:tcPr>
          <w:p>
            <w:pPr>
              <w:jc w:val="center"/>
            </w:pPr>
            <w:r>
              <w:rPr>
                <w:b/>
                <w:sz w:val="20"/>
              </w:rPr>
              <w:t>Type</w:t>
            </w:r>
          </w:p>
        </w:tc>
      </w:tr>
      <w:tr>
        <w:tc>
          <w:tcPr>
            <w:tcW w:type="dxa" w:w="1008"/>
            <w:tcMar>
              <w:top w:w="70" w:type="dxa"/>
              <w:start w:w="100" w:type="dxa"/>
              <w:bottom w:w="70" w:type="dxa"/>
              <w:end w:w="100" w:type="dxa"/>
            </w:tcMar>
            <w:vAlign w:val="center"/>
          </w:tcPr>
          <w:p>
            <w:pPr>
              <w:spacing w:after="0"/>
            </w:pPr>
            <w:r>
              <w:rPr>
                <w:sz w:val="19"/>
              </w:rPr>
              <w:t>45</w:t>
            </w:r>
          </w:p>
        </w:tc>
        <w:tc>
          <w:tcPr>
            <w:tcW w:type="dxa" w:w="5328"/>
            <w:tcMar>
              <w:top w:w="70" w:type="dxa"/>
              <w:start w:w="100" w:type="dxa"/>
              <w:bottom w:w="70" w:type="dxa"/>
              <w:end w:w="100" w:type="dxa"/>
            </w:tcMar>
            <w:vAlign w:val="center"/>
          </w:tcPr>
          <w:p>
            <w:pPr>
              <w:spacing w:after="0"/>
            </w:pPr>
            <w:r>
              <w:rPr>
                <w:sz w:val="19"/>
              </w:rPr>
              <w:t>Resolve Domain Catalogue</w:t>
            </w:r>
          </w:p>
        </w:tc>
        <w:tc>
          <w:tcPr>
            <w:tcW w:type="dxa" w:w="252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46</w:t>
            </w:r>
          </w:p>
        </w:tc>
        <w:tc>
          <w:tcPr>
            <w:tcW w:type="dxa" w:w="5328"/>
            <w:tcMar>
              <w:top w:w="70" w:type="dxa"/>
              <w:start w:w="100" w:type="dxa"/>
              <w:bottom w:w="70" w:type="dxa"/>
              <w:end w:w="100" w:type="dxa"/>
            </w:tcMar>
            <w:vAlign w:val="center"/>
          </w:tcPr>
          <w:p>
            <w:pPr>
              <w:spacing w:after="0"/>
            </w:pPr>
            <w:r>
              <w:rPr>
                <w:sz w:val="19"/>
              </w:rPr>
              <w:t>Download Catalogue PDF</w:t>
            </w:r>
          </w:p>
        </w:tc>
        <w:tc>
          <w:tcPr>
            <w:tcW w:type="dxa" w:w="252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47</w:t>
            </w:r>
          </w:p>
        </w:tc>
        <w:tc>
          <w:tcPr>
            <w:tcW w:type="dxa" w:w="5328"/>
            <w:tcMar>
              <w:top w:w="70" w:type="dxa"/>
              <w:start w:w="100" w:type="dxa"/>
              <w:bottom w:w="70" w:type="dxa"/>
              <w:end w:w="100" w:type="dxa"/>
            </w:tcMar>
            <w:vAlign w:val="center"/>
          </w:tcPr>
          <w:p>
            <w:pPr>
              <w:spacing w:after="0"/>
            </w:pPr>
            <w:r>
              <w:rPr>
                <w:sz w:val="19"/>
              </w:rPr>
              <w:t>Assemble Mail Attachments</w:t>
            </w:r>
          </w:p>
        </w:tc>
        <w:tc>
          <w:tcPr>
            <w:tcW w:type="dxa" w:w="252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48</w:t>
            </w:r>
          </w:p>
        </w:tc>
        <w:tc>
          <w:tcPr>
            <w:tcW w:type="dxa" w:w="5328"/>
            <w:tcMar>
              <w:top w:w="70" w:type="dxa"/>
              <w:start w:w="100" w:type="dxa"/>
              <w:bottom w:w="70" w:type="dxa"/>
              <w:end w:w="100" w:type="dxa"/>
            </w:tcMar>
            <w:vAlign w:val="center"/>
          </w:tcPr>
          <w:p>
            <w:pPr>
              <w:spacing w:after="0"/>
            </w:pPr>
            <w:r>
              <w:rPr>
                <w:sz w:val="19"/>
              </w:rPr>
              <w:t>Build Catalogue Render Payload</w:t>
            </w:r>
          </w:p>
        </w:tc>
        <w:tc>
          <w:tcPr>
            <w:tcW w:type="dxa" w:w="252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49</w:t>
            </w:r>
          </w:p>
        </w:tc>
        <w:tc>
          <w:tcPr>
            <w:tcW w:type="dxa" w:w="5328"/>
            <w:tcMar>
              <w:top w:w="70" w:type="dxa"/>
              <w:start w:w="100" w:type="dxa"/>
              <w:bottom w:w="70" w:type="dxa"/>
              <w:end w:w="100" w:type="dxa"/>
            </w:tcMar>
            <w:vAlign w:val="center"/>
          </w:tcPr>
          <w:p>
            <w:pPr>
              <w:spacing w:after="0"/>
            </w:pPr>
            <w:r>
              <w:rPr>
                <w:sz w:val="19"/>
              </w:rPr>
              <w:t>render Catalogue Artifact</w:t>
            </w:r>
          </w:p>
        </w:tc>
        <w:tc>
          <w:tcPr>
            <w:tcW w:type="dxa" w:w="252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50</w:t>
            </w:r>
          </w:p>
        </w:tc>
        <w:tc>
          <w:tcPr>
            <w:tcW w:type="dxa" w:w="5328"/>
            <w:tcMar>
              <w:top w:w="70" w:type="dxa"/>
              <w:start w:w="100" w:type="dxa"/>
              <w:bottom w:w="70" w:type="dxa"/>
              <w:end w:w="100" w:type="dxa"/>
            </w:tcMar>
            <w:vAlign w:val="center"/>
          </w:tcPr>
          <w:p>
            <w:pPr>
              <w:spacing w:after="0"/>
            </w:pPr>
            <w:r>
              <w:rPr>
                <w:sz w:val="19"/>
              </w:rPr>
              <w:t>Merge Catalogue Artifact</w:t>
            </w:r>
          </w:p>
        </w:tc>
        <w:tc>
          <w:tcPr>
            <w:tcW w:type="dxa" w:w="252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51</w:t>
            </w:r>
          </w:p>
        </w:tc>
        <w:tc>
          <w:tcPr>
            <w:tcW w:type="dxa" w:w="5328"/>
            <w:tcMar>
              <w:top w:w="70" w:type="dxa"/>
              <w:start w:w="100" w:type="dxa"/>
              <w:bottom w:w="70" w:type="dxa"/>
              <w:end w:w="100" w:type="dxa"/>
            </w:tcMar>
            <w:vAlign w:val="center"/>
          </w:tcPr>
          <w:p>
            <w:pPr>
              <w:spacing w:after="0"/>
            </w:pPr>
            <w:r>
              <w:rPr>
                <w:sz w:val="19"/>
              </w:rPr>
              <w:t>Build Deck Render Payload</w:t>
            </w:r>
          </w:p>
        </w:tc>
        <w:tc>
          <w:tcPr>
            <w:tcW w:type="dxa" w:w="2520"/>
            <w:tcMar>
              <w:top w:w="70" w:type="dxa"/>
              <w:start w:w="100" w:type="dxa"/>
              <w:bottom w:w="70" w:type="dxa"/>
              <w:end w:w="100" w:type="dxa"/>
            </w:tcMar>
            <w:vAlign w:val="center"/>
          </w:tcPr>
          <w:p>
            <w:pPr>
              <w:spacing w:after="0"/>
            </w:pPr>
            <w:r>
              <w:rPr>
                <w:sz w:val="19"/>
              </w:rPr>
              <w:t>code</w:t>
            </w:r>
          </w:p>
        </w:tc>
      </w:tr>
      <w:tr>
        <w:tc>
          <w:tcPr>
            <w:tcW w:type="dxa" w:w="1008"/>
            <w:tcMar>
              <w:top w:w="70" w:type="dxa"/>
              <w:start w:w="100" w:type="dxa"/>
              <w:bottom w:w="70" w:type="dxa"/>
              <w:end w:w="100" w:type="dxa"/>
            </w:tcMar>
            <w:vAlign w:val="center"/>
          </w:tcPr>
          <w:p>
            <w:pPr>
              <w:spacing w:after="0"/>
            </w:pPr>
            <w:r>
              <w:rPr>
                <w:sz w:val="19"/>
              </w:rPr>
              <w:t>52</w:t>
            </w:r>
          </w:p>
        </w:tc>
        <w:tc>
          <w:tcPr>
            <w:tcW w:type="dxa" w:w="5328"/>
            <w:tcMar>
              <w:top w:w="70" w:type="dxa"/>
              <w:start w:w="100" w:type="dxa"/>
              <w:bottom w:w="70" w:type="dxa"/>
              <w:end w:w="100" w:type="dxa"/>
            </w:tcMar>
            <w:vAlign w:val="center"/>
          </w:tcPr>
          <w:p>
            <w:pPr>
              <w:spacing w:after="0"/>
            </w:pPr>
            <w:r>
              <w:rPr>
                <w:sz w:val="19"/>
              </w:rPr>
              <w:t>Render Deck Artifact</w:t>
            </w:r>
          </w:p>
        </w:tc>
        <w:tc>
          <w:tcPr>
            <w:tcW w:type="dxa" w:w="2520"/>
            <w:tcMar>
              <w:top w:w="70" w:type="dxa"/>
              <w:start w:w="100" w:type="dxa"/>
              <w:bottom w:w="70" w:type="dxa"/>
              <w:end w:w="100" w:type="dxa"/>
            </w:tcMar>
            <w:vAlign w:val="center"/>
          </w:tcPr>
          <w:p>
            <w:pPr>
              <w:spacing w:after="0"/>
            </w:pPr>
            <w:r>
              <w:rPr>
                <w:sz w:val="19"/>
              </w:rPr>
              <w:t>httpRequest</w:t>
            </w:r>
          </w:p>
        </w:tc>
      </w:tr>
      <w:tr>
        <w:tc>
          <w:tcPr>
            <w:tcW w:type="dxa" w:w="1008"/>
            <w:tcMar>
              <w:top w:w="70" w:type="dxa"/>
              <w:start w:w="100" w:type="dxa"/>
              <w:bottom w:w="70" w:type="dxa"/>
              <w:end w:w="100" w:type="dxa"/>
            </w:tcMar>
            <w:vAlign w:val="center"/>
          </w:tcPr>
          <w:p>
            <w:pPr>
              <w:spacing w:after="0"/>
            </w:pPr>
            <w:r>
              <w:rPr>
                <w:sz w:val="19"/>
              </w:rPr>
              <w:t>53</w:t>
            </w:r>
          </w:p>
        </w:tc>
        <w:tc>
          <w:tcPr>
            <w:tcW w:type="dxa" w:w="5328"/>
            <w:tcMar>
              <w:top w:w="70" w:type="dxa"/>
              <w:start w:w="100" w:type="dxa"/>
              <w:bottom w:w="70" w:type="dxa"/>
              <w:end w:w="100" w:type="dxa"/>
            </w:tcMar>
            <w:vAlign w:val="center"/>
          </w:tcPr>
          <w:p>
            <w:pPr>
              <w:spacing w:after="0"/>
            </w:pPr>
            <w:r>
              <w:rPr>
                <w:sz w:val="19"/>
              </w:rPr>
              <w:t>Merge Deck Artifact</w:t>
            </w:r>
          </w:p>
        </w:tc>
        <w:tc>
          <w:tcPr>
            <w:tcW w:type="dxa" w:w="2520"/>
            <w:tcMar>
              <w:top w:w="70" w:type="dxa"/>
              <w:start w:w="100" w:type="dxa"/>
              <w:bottom w:w="70" w:type="dxa"/>
              <w:end w:w="100" w:type="dxa"/>
            </w:tcMar>
            <w:vAlign w:val="center"/>
          </w:tcPr>
          <w:p>
            <w:pPr>
              <w:spacing w:after="0"/>
            </w:pPr>
            <w:r>
              <w:rPr>
                <w:sz w:val="19"/>
              </w:rPr>
              <w:t>code</w:t>
            </w:r>
          </w:p>
        </w:tc>
      </w:tr>
    </w:tbl>
    <w:p>
      <w:pPr>
        <w:spacing w:after="100"/>
      </w:pPr>
      <w:r>
        <w:t>Cette version CRM prospecting n’envoie plus seulement un courrier texte. Elle tente aussi de joindre un catalogue PDF et un deck PPTX ciblés. L’utilisateur doit donc vérifier non seulement la génération du message, mais aussi la réussite des nœuds de rendu et l’existence finale des pièces jointes dans Assemble Mail Attachments.</w:t>
      </w:r>
    </w:p>
    <w:p>
      <w:pPr>
        <w:pStyle w:val="Heading1"/>
      </w:pPr>
      <w:r>
        <w:t>10. Cas d’usage quotidiens</w:t>
      </w:r>
    </w:p>
    <w:p>
      <w:pPr>
        <w:pStyle w:val="ListBullet"/>
        <w:spacing w:after="40"/>
      </w:pPr>
      <w:r>
        <w:t>tester un nouveau prospect en mode manuel</w:t>
      </w:r>
    </w:p>
    <w:p>
      <w:pPr>
        <w:pStyle w:val="ListBullet"/>
        <w:spacing w:after="40"/>
      </w:pPr>
      <w:r>
        <w:t>contrôler un pack bloqué dans la branche approval_error</w:t>
      </w:r>
    </w:p>
    <w:p>
      <w:pPr>
        <w:pStyle w:val="ListBullet"/>
        <w:spacing w:after="40"/>
      </w:pPr>
      <w:r>
        <w:t>valider qu’un prospect rejeté est bien mis à jour dans prospect_targets</w:t>
      </w:r>
    </w:p>
    <w:p>
      <w:pPr>
        <w:pStyle w:val="ListBullet"/>
        <w:spacing w:after="40"/>
      </w:pPr>
      <w:r>
        <w:t>vérifier qu’un catalogue PDF existe bien avant l’envoi au DG</w:t>
      </w:r>
    </w:p>
    <w:p>
      <w:pPr>
        <w:pStyle w:val="ListBullet"/>
        <w:spacing w:after="40"/>
      </w:pPr>
      <w:r>
        <w:t>contrôler les statuts sent, rejected, approval_error dans ai_prospecting_packs</w:t>
      </w:r>
    </w:p>
    <w:p>
      <w:pPr>
        <w:pStyle w:val="Heading1"/>
      </w:pPr>
      <w:r>
        <w:t>11. Troubleshooting rapide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880"/>
            <w:shd w:fill="D9E7F5"/>
            <w:tcMar>
              <w:top w:w="90" w:type="dxa"/>
              <w:start w:w="110" w:type="dxa"/>
              <w:bottom w:w="90" w:type="dxa"/>
              <w:end w:w="110" w:type="dxa"/>
            </w:tcMar>
            <w:vAlign w:val="center"/>
          </w:tcPr>
          <w:p>
            <w:pPr>
              <w:jc w:val="center"/>
            </w:pPr>
            <w:r>
              <w:rPr>
                <w:b/>
                <w:sz w:val="20"/>
              </w:rPr>
              <w:t>Symptôme</w:t>
            </w:r>
          </w:p>
        </w:tc>
        <w:tc>
          <w:tcPr>
            <w:tcW w:type="dxa" w:w="3024"/>
            <w:shd w:fill="D9E7F5"/>
            <w:tcMar>
              <w:top w:w="90" w:type="dxa"/>
              <w:start w:w="110" w:type="dxa"/>
              <w:bottom w:w="90" w:type="dxa"/>
              <w:end w:w="110" w:type="dxa"/>
            </w:tcMar>
            <w:vAlign w:val="center"/>
          </w:tcPr>
          <w:p>
            <w:pPr>
              <w:jc w:val="center"/>
            </w:pPr>
            <w:r>
              <w:rPr>
                <w:b/>
                <w:sz w:val="20"/>
              </w:rPr>
              <w:t>Cause probable</w:t>
            </w:r>
          </w:p>
        </w:tc>
        <w:tc>
          <w:tcPr>
            <w:tcW w:type="dxa" w:w="3168"/>
            <w:shd w:fill="D9E7F5"/>
            <w:tcMar>
              <w:top w:w="90" w:type="dxa"/>
              <w:start w:w="110" w:type="dxa"/>
              <w:bottom w:w="90" w:type="dxa"/>
              <w:end w:w="110" w:type="dxa"/>
            </w:tcMar>
            <w:vAlign w:val="center"/>
          </w:tcPr>
          <w:p>
            <w:pPr>
              <w:jc w:val="center"/>
            </w:pPr>
            <w:r>
              <w:rPr>
                <w:b/>
                <w:sz w:val="20"/>
              </w:rPr>
              <w:t>Action recommandée</w:t>
            </w:r>
          </w:p>
        </w:tc>
      </w:tr>
      <w:tr>
        <w:tc>
          <w:tcPr>
            <w:tcW w:type="dxa" w:w="2880"/>
            <w:tcMar>
              <w:top w:w="70" w:type="dxa"/>
              <w:start w:w="100" w:type="dxa"/>
              <w:bottom w:w="70" w:type="dxa"/>
              <w:end w:w="100" w:type="dxa"/>
            </w:tcMar>
            <w:vAlign w:val="center"/>
          </w:tcPr>
          <w:p>
            <w:pPr>
              <w:spacing w:after="0"/>
            </w:pPr>
            <w:r>
              <w:rPr>
                <w:sz w:val="19"/>
              </w:rPr>
              <w:t>Get Pack From Supabase renvoie []</w:t>
            </w:r>
          </w:p>
        </w:tc>
        <w:tc>
          <w:tcPr>
            <w:tcW w:type="dxa" w:w="3024"/>
            <w:tcMar>
              <w:top w:w="70" w:type="dxa"/>
              <w:start w:w="100" w:type="dxa"/>
              <w:bottom w:w="70" w:type="dxa"/>
              <w:end w:w="100" w:type="dxa"/>
            </w:tcMar>
            <w:vAlign w:val="center"/>
          </w:tcPr>
          <w:p>
            <w:pPr>
              <w:spacing w:after="0"/>
            </w:pPr>
            <w:r>
              <w:rPr>
                <w:sz w:val="19"/>
              </w:rPr>
              <w:t>headers ou select incorrect, RLS, mauvaise clé</w:t>
            </w:r>
          </w:p>
        </w:tc>
        <w:tc>
          <w:tcPr>
            <w:tcW w:type="dxa" w:w="3168"/>
            <w:tcMar>
              <w:top w:w="70" w:type="dxa"/>
              <w:start w:w="100" w:type="dxa"/>
              <w:bottom w:w="70" w:type="dxa"/>
              <w:end w:w="100" w:type="dxa"/>
            </w:tcMar>
            <w:vAlign w:val="center"/>
          </w:tcPr>
          <w:p>
            <w:pPr>
              <w:spacing w:after="0"/>
            </w:pPr>
            <w:r>
              <w:rPr>
                <w:sz w:val="19"/>
              </w:rPr>
              <w:t>vérifier apikey, Authorization, select=* et pack_id exact</w:t>
            </w:r>
          </w:p>
        </w:tc>
      </w:tr>
      <w:tr>
        <w:tc>
          <w:tcPr>
            <w:tcW w:type="dxa" w:w="2880"/>
            <w:tcMar>
              <w:top w:w="70" w:type="dxa"/>
              <w:start w:w="100" w:type="dxa"/>
              <w:bottom w:w="70" w:type="dxa"/>
              <w:end w:w="100" w:type="dxa"/>
            </w:tcMar>
            <w:vAlign w:val="center"/>
          </w:tcPr>
          <w:p>
            <w:pPr>
              <w:spacing w:after="0"/>
            </w:pPr>
            <w:r>
              <w:rPr>
                <w:sz w:val="19"/>
              </w:rPr>
              <w:t>If Ready To Send bloque</w:t>
            </w:r>
          </w:p>
        </w:tc>
        <w:tc>
          <w:tcPr>
            <w:tcW w:type="dxa" w:w="3024"/>
            <w:tcMar>
              <w:top w:w="70" w:type="dxa"/>
              <w:start w:w="100" w:type="dxa"/>
              <w:bottom w:w="70" w:type="dxa"/>
              <w:end w:w="100" w:type="dxa"/>
            </w:tcMar>
            <w:vAlign w:val="center"/>
          </w:tcPr>
          <w:p>
            <w:pPr>
              <w:spacing w:after="0"/>
            </w:pPr>
            <w:r>
              <w:rPr>
                <w:sz w:val="19"/>
              </w:rPr>
              <w:t>target_email ou executive_letter manquant</w:t>
            </w:r>
          </w:p>
        </w:tc>
        <w:tc>
          <w:tcPr>
            <w:tcW w:type="dxa" w:w="3168"/>
            <w:tcMar>
              <w:top w:w="70" w:type="dxa"/>
              <w:start w:w="100" w:type="dxa"/>
              <w:bottom w:w="70" w:type="dxa"/>
              <w:end w:w="100" w:type="dxa"/>
            </w:tcMar>
            <w:vAlign w:val="center"/>
          </w:tcPr>
          <w:p>
            <w:pPr>
              <w:spacing w:after="0"/>
            </w:pPr>
            <w:r>
              <w:rPr>
                <w:sz w:val="19"/>
              </w:rPr>
              <w:t>ouvrir Build Send Context et confirmer can_send</w:t>
            </w:r>
          </w:p>
        </w:tc>
      </w:tr>
      <w:tr>
        <w:tc>
          <w:tcPr>
            <w:tcW w:type="dxa" w:w="2880"/>
            <w:tcMar>
              <w:top w:w="70" w:type="dxa"/>
              <w:start w:w="100" w:type="dxa"/>
              <w:bottom w:w="70" w:type="dxa"/>
              <w:end w:w="100" w:type="dxa"/>
            </w:tcMar>
            <w:vAlign w:val="center"/>
          </w:tcPr>
          <w:p>
            <w:pPr>
              <w:spacing w:after="0"/>
            </w:pPr>
            <w:r>
              <w:rPr>
                <w:sz w:val="19"/>
              </w:rPr>
              <w:t>Le webhook ne répond pas</w:t>
            </w:r>
          </w:p>
        </w:tc>
        <w:tc>
          <w:tcPr>
            <w:tcW w:type="dxa" w:w="3024"/>
            <w:tcMar>
              <w:top w:w="70" w:type="dxa"/>
              <w:start w:w="100" w:type="dxa"/>
              <w:bottom w:w="70" w:type="dxa"/>
              <w:end w:w="100" w:type="dxa"/>
            </w:tcMar>
            <w:vAlign w:val="center"/>
          </w:tcPr>
          <w:p>
            <w:pPr>
              <w:spacing w:after="0"/>
            </w:pPr>
            <w:r>
              <w:rPr>
                <w:sz w:val="19"/>
              </w:rPr>
              <w:t>workflow inactif ou mauvaise URL publique</w:t>
            </w:r>
          </w:p>
        </w:tc>
        <w:tc>
          <w:tcPr>
            <w:tcW w:type="dxa" w:w="3168"/>
            <w:tcMar>
              <w:top w:w="70" w:type="dxa"/>
              <w:start w:w="100" w:type="dxa"/>
              <w:bottom w:w="70" w:type="dxa"/>
              <w:end w:w="100" w:type="dxa"/>
            </w:tcMar>
            <w:vAlign w:val="center"/>
          </w:tcPr>
          <w:p>
            <w:pPr>
              <w:spacing w:after="0"/>
            </w:pPr>
            <w:r>
              <w:rPr>
                <w:sz w:val="19"/>
              </w:rPr>
              <w:t>activer le workflow et tester N8N_BASE_URL</w:t>
            </w:r>
          </w:p>
        </w:tc>
      </w:tr>
      <w:tr>
        <w:tc>
          <w:tcPr>
            <w:tcW w:type="dxa" w:w="2880"/>
            <w:tcMar>
              <w:top w:w="70" w:type="dxa"/>
              <w:start w:w="100" w:type="dxa"/>
              <w:bottom w:w="70" w:type="dxa"/>
              <w:end w:w="100" w:type="dxa"/>
            </w:tcMar>
            <w:vAlign w:val="center"/>
          </w:tcPr>
          <w:p>
            <w:pPr>
              <w:spacing w:after="0"/>
            </w:pPr>
            <w:r>
              <w:rPr>
                <w:sz w:val="19"/>
              </w:rPr>
              <w:t>Aucune pièce jointe</w:t>
            </w:r>
          </w:p>
        </w:tc>
        <w:tc>
          <w:tcPr>
            <w:tcW w:type="dxa" w:w="3024"/>
            <w:tcMar>
              <w:top w:w="70" w:type="dxa"/>
              <w:start w:w="100" w:type="dxa"/>
              <w:bottom w:w="70" w:type="dxa"/>
              <w:end w:w="100" w:type="dxa"/>
            </w:tcMar>
            <w:vAlign w:val="center"/>
          </w:tcPr>
          <w:p>
            <w:pPr>
              <w:spacing w:after="0"/>
            </w:pPr>
            <w:r>
              <w:rPr>
                <w:sz w:val="19"/>
              </w:rPr>
              <w:t>renderer catalogue ou deck en échec</w:t>
            </w:r>
          </w:p>
        </w:tc>
        <w:tc>
          <w:tcPr>
            <w:tcW w:type="dxa" w:w="3168"/>
            <w:tcMar>
              <w:top w:w="70" w:type="dxa"/>
              <w:start w:w="100" w:type="dxa"/>
              <w:bottom w:w="70" w:type="dxa"/>
              <w:end w:w="100" w:type="dxa"/>
            </w:tcMar>
            <w:vAlign w:val="center"/>
          </w:tcPr>
          <w:p>
            <w:pPr>
              <w:spacing w:after="0"/>
            </w:pPr>
            <w:r>
              <w:rPr>
                <w:sz w:val="19"/>
              </w:rPr>
              <w:t>tester les nœuds de rendu séparément</w:t>
            </w:r>
          </w:p>
        </w:tc>
      </w:tr>
      <w:tr>
        <w:tc>
          <w:tcPr>
            <w:tcW w:type="dxa" w:w="2880"/>
            <w:tcMar>
              <w:top w:w="70" w:type="dxa"/>
              <w:start w:w="100" w:type="dxa"/>
              <w:bottom w:w="70" w:type="dxa"/>
              <w:end w:w="100" w:type="dxa"/>
            </w:tcMar>
            <w:vAlign w:val="center"/>
          </w:tcPr>
          <w:p>
            <w:pPr>
              <w:spacing w:after="0"/>
            </w:pPr>
            <w:r>
              <w:rPr>
                <w:sz w:val="19"/>
              </w:rPr>
              <w:t>Le CRM ne se met pas à jour</w:t>
            </w:r>
          </w:p>
        </w:tc>
        <w:tc>
          <w:tcPr>
            <w:tcW w:type="dxa" w:w="3024"/>
            <w:tcMar>
              <w:top w:w="70" w:type="dxa"/>
              <w:start w:w="100" w:type="dxa"/>
              <w:bottom w:w="70" w:type="dxa"/>
              <w:end w:w="100" w:type="dxa"/>
            </w:tcMar>
            <w:vAlign w:val="center"/>
          </w:tcPr>
          <w:p>
            <w:pPr>
              <w:spacing w:after="0"/>
            </w:pPr>
            <w:r>
              <w:rPr>
                <w:sz w:val="19"/>
              </w:rPr>
              <w:t>PATCH Supabase mal configuré</w:t>
            </w:r>
          </w:p>
        </w:tc>
        <w:tc>
          <w:tcPr>
            <w:tcW w:type="dxa" w:w="3168"/>
            <w:tcMar>
              <w:top w:w="70" w:type="dxa"/>
              <w:start w:w="100" w:type="dxa"/>
              <w:bottom w:w="70" w:type="dxa"/>
              <w:end w:w="100" w:type="dxa"/>
            </w:tcMar>
            <w:vAlign w:val="center"/>
          </w:tcPr>
          <w:p>
            <w:pPr>
              <w:spacing w:after="0"/>
            </w:pPr>
            <w:r>
              <w:rPr>
                <w:sz w:val="19"/>
              </w:rPr>
              <w:t>vérifier Update Prospect Target ... et la service role key</w:t>
            </w:r>
          </w:p>
        </w:tc>
      </w:tr>
    </w:tbl>
    <w:p>
      <w:pPr>
        <w:pStyle w:val="Heading1"/>
      </w:pPr>
      <w:r>
        <w:t>12. Résultat attendu</w:t>
      </w:r>
    </w:p>
    <w:p>
      <w:pPr>
        <w:spacing w:after="100"/>
      </w:pPr>
      <w:r>
        <w:t>À la fin, l’utilisateur doit disposer d’un workflow CRM prospecting capable de qualifier un prospect, générer son pack, faire approuver l’approche, envoyer un courrier enrichi de pièces jointes, journaliser l’action et mettre à jour la base CRM. Ce guide doit permettre de reprendre le workflow rapidement sans repartir de zéro.</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TransferAI - Guide utilisateur CRM Prospecting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5D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