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ATitle"/>
        <w:spacing w:after="160"/>
      </w:pPr>
      <w:r>
        <w:t>Elton Oil CI | Catalogue cible TransferAI</w:t>
      </w:r>
    </w:p>
    <w:p>
      <w:pPr>
        <w:pStyle w:val="TASubtitle"/>
        <w:spacing w:after="240"/>
      </w:pPr>
      <w:r>
        <w:t>Services, formations et cas d'usage pertinents pour une entreprise comme ELTON CI</w:t>
      </w:r>
    </w:p>
    <w:p>
      <w:pPr>
        <w:pStyle w:val="TASmall"/>
      </w:pPr>
      <w:r>
        <w:t>Document de prospection | Généré le 22/05/2026</w:t>
      </w:r>
    </w:p>
    <w:tbl>
      <w:tblPr>
        <w:tblW w:type="auto" w:w="0"/>
        <w:tblLayout w:type="autofit"/>
        <w:tblLook w:firstColumn="1" w:firstRow="1" w:lastColumn="0" w:lastRow="0" w:noHBand="0" w:noVBand="1" w:val="04A0"/>
      </w:tblPr>
      <w:tblGrid>
        <w:gridCol w:w="9360"/>
      </w:tblGrid>
      <w:tr>
        <w:tc>
          <w:tcPr>
            <w:tcW w:type="dxa" w:w="9360"/>
            <w:shd w:fill="FCEDE4"/>
          </w:tcPr>
          <w:p>
            <w:pPr>
              <w:spacing w:after="0"/>
            </w:pPr>
            <w:r/>
            <w:r>
              <w:rPr>
                <w:rFonts w:ascii="Calibri" w:hAnsi="Calibri"/>
                <w:b/>
                <w:color w:val="12355B"/>
                <w:sz w:val="21"/>
              </w:rPr>
              <w:t>Message clé : l'IA n'est qu'un moyen. La vraie valeur pour ELTON est le service, l'accompagnement, la formation et la mise en oeuvre de cas d'usage utiles.</w:t>
            </w:r>
          </w:p>
        </w:tc>
      </w:tr>
    </w:tbl>
    <w:p/>
    <w:p>
      <w:pPr>
        <w:spacing w:after="120"/>
      </w:pPr>
      <w:r>
        <w:rPr>
          <w:b/>
          <w:color w:val="12355B"/>
        </w:rPr>
        <w:t>Date :</w:t>
      </w:r>
      <w:r>
        <w:t xml:space="preserve"> 2026-05-22</w:t>
      </w:r>
    </w:p>
    <w:p>
      <w:pPr>
        <w:pStyle w:val="TAHeading1"/>
      </w:pPr>
      <w:r>
        <w:t>Objet</w:t>
      </w:r>
    </w:p>
    <w:p>
      <w:pPr>
        <w:spacing w:after="120"/>
      </w:pPr>
      <w:r>
        <w:t>Ce document rassemble les services et formations TransferAI Africa qui paraissent les plus pertinents pour une entreprise comme ELTON OIL COMPANY COTE D'IVOIRE, a partir des activites visibles sur son site public.</w:t>
      </w:r>
    </w:p>
    <w:p>
      <w:pPr>
        <w:spacing w:after="120"/>
      </w:pPr>
      <w:r>
        <w:t>Il ne s'agit pas du catalogue complet TransferAI Africa au sens des 130+ formations disponibles, mais d'un catalogue cible, complet au regard des besoins probables d'ELTON CI.</w:t>
      </w:r>
    </w:p>
    <w:p>
      <w:pPr>
        <w:pStyle w:val="TAHeading1"/>
      </w:pPr>
      <w:r>
        <w:t>Ce que nous devons montrer</w:t>
      </w:r>
    </w:p>
    <w:p>
      <w:pPr>
        <w:spacing w:after="120"/>
      </w:pPr>
      <w:r>
        <w:rPr>
          <w:b/>
          <w:color w:val="12355B"/>
        </w:rPr>
        <w:t>Le message commercial ne doit pas etre :</w:t>
      </w:r>
    </w:p>
    <w:p>
      <w:pPr>
        <w:pStyle w:val="ListBullet"/>
        <w:spacing w:after="100"/>
      </w:pPr>
      <w:r>
        <w:rPr>
          <w:rFonts w:ascii="Calibri" w:hAnsi="Calibri"/>
          <w:sz w:val="22"/>
        </w:rPr>
        <w:t>"nous faisons de l'IA";</w:t>
      </w:r>
    </w:p>
    <w:p>
      <w:pPr>
        <w:pStyle w:val="ListBullet"/>
        <w:spacing w:after="100"/>
      </w:pPr>
      <w:r>
        <w:rPr>
          <w:rFonts w:ascii="Calibri" w:hAnsi="Calibri"/>
          <w:sz w:val="22"/>
        </w:rPr>
        <w:t>"nous faisons un chatbot";</w:t>
      </w:r>
    </w:p>
    <w:p>
      <w:pPr>
        <w:pStyle w:val="ListBullet"/>
        <w:spacing w:after="100"/>
      </w:pPr>
      <w:r>
        <w:rPr>
          <w:rFonts w:ascii="Calibri" w:hAnsi="Calibri"/>
          <w:sz w:val="22"/>
        </w:rPr>
        <w:t>"nous deployons une technologie".</w:t>
      </w:r>
    </w:p>
    <w:p>
      <w:pPr>
        <w:spacing w:after="120"/>
      </w:pPr>
      <w:r>
        <w:rPr>
          <w:b/>
          <w:color w:val="12355B"/>
        </w:rPr>
        <w:t>Le bon message est :</w:t>
      </w:r>
    </w:p>
    <w:p>
      <w:pPr>
        <w:pStyle w:val="TAHeading1"/>
      </w:pPr>
      <w:r>
        <w:t>nous apportons du service derriere l'IA</w:t>
      </w:r>
    </w:p>
    <w:p>
      <w:pPr>
        <w:spacing w:after="120"/>
      </w:pPr>
      <w:r>
        <w:rPr>
          <w:b/>
          <w:color w:val="12355B"/>
        </w:rPr>
        <w:t>Autrement dit :</w:t>
      </w:r>
    </w:p>
    <w:p>
      <w:pPr>
        <w:pStyle w:val="ListBullet"/>
        <w:spacing w:after="100"/>
      </w:pPr>
      <w:r>
        <w:rPr>
          <w:rFonts w:ascii="Calibri" w:hAnsi="Calibri"/>
          <w:sz w:val="22"/>
        </w:rPr>
        <w:t>nous aidons a clarifier les priorites;</w:t>
      </w:r>
    </w:p>
    <w:p>
      <w:pPr>
        <w:pStyle w:val="ListBullet"/>
        <w:spacing w:after="100"/>
      </w:pPr>
      <w:r>
        <w:rPr>
          <w:rFonts w:ascii="Calibri" w:hAnsi="Calibri"/>
          <w:sz w:val="22"/>
        </w:rPr>
        <w:t>nous auditons les processus et les flux d'information;</w:t>
      </w:r>
    </w:p>
    <w:p>
      <w:pPr>
        <w:pStyle w:val="ListBullet"/>
        <w:spacing w:after="100"/>
      </w:pPr>
      <w:r>
        <w:rPr>
          <w:rFonts w:ascii="Calibri" w:hAnsi="Calibri"/>
          <w:sz w:val="22"/>
        </w:rPr>
        <w:t>nous identifions les gains rapides et les cas d'usage realistes;</w:t>
      </w:r>
    </w:p>
    <w:p>
      <w:pPr>
        <w:pStyle w:val="ListBullet"/>
        <w:spacing w:after="100"/>
      </w:pPr>
      <w:r>
        <w:rPr>
          <w:rFonts w:ascii="Calibri" w:hAnsi="Calibri"/>
          <w:sz w:val="22"/>
        </w:rPr>
        <w:t>nous accompagnons la mise en oeuvre;</w:t>
      </w:r>
    </w:p>
    <w:p>
      <w:pPr>
        <w:pStyle w:val="ListBullet"/>
        <w:spacing w:after="100"/>
      </w:pPr>
      <w:r>
        <w:rPr>
          <w:rFonts w:ascii="Calibri" w:hAnsi="Calibri"/>
          <w:sz w:val="22"/>
        </w:rPr>
        <w:t>nous formons les equipes;</w:t>
      </w:r>
    </w:p>
    <w:p>
      <w:pPr>
        <w:pStyle w:val="ListBullet"/>
        <w:spacing w:after="100"/>
      </w:pPr>
      <w:r>
        <w:rPr>
          <w:rFonts w:ascii="Calibri" w:hAnsi="Calibri"/>
          <w:sz w:val="22"/>
        </w:rPr>
        <w:t>nous construisons, si necessaire, des solutions IA sur mesure autour des contraintes metier.</w:t>
      </w:r>
    </w:p>
    <w:p>
      <w:pPr>
        <w:pStyle w:val="TAHeading1"/>
      </w:pPr>
      <w:r>
        <w:t>1. Ce que le site ELTON laisse entrevoir</w:t>
      </w:r>
    </w:p>
    <w:p>
      <w:pPr>
        <w:spacing w:after="120"/>
      </w:pPr>
      <w:r>
        <w:rPr>
          <w:b/>
          <w:color w:val="12355B"/>
        </w:rPr>
        <w:t>Les pages publiques d'ELTON mettent en avant :</w:t>
      </w:r>
    </w:p>
    <w:p>
      <w:pPr>
        <w:pStyle w:val="ListBullet"/>
        <w:spacing w:after="100"/>
      </w:pPr>
      <w:r>
        <w:rPr>
          <w:rFonts w:ascii="Calibri" w:hAnsi="Calibri"/>
          <w:sz w:val="22"/>
        </w:rPr>
        <w:t>la carte OASIS pour la gestion des cartes, des achats et de la facturation;</w:t>
      </w:r>
    </w:p>
    <w:p>
      <w:pPr>
        <w:pStyle w:val="ListBullet"/>
        <w:spacing w:after="100"/>
      </w:pPr>
      <w:r>
        <w:rPr>
          <w:rFonts w:ascii="Calibri" w:hAnsi="Calibri"/>
          <w:sz w:val="22"/>
        </w:rPr>
        <w:t>des offres professionnelles pour les entreprises et la gestion de flotte;</w:t>
      </w:r>
    </w:p>
    <w:p>
      <w:pPr>
        <w:pStyle w:val="ListBullet"/>
        <w:spacing w:after="100"/>
      </w:pPr>
      <w:r>
        <w:rPr>
          <w:rFonts w:ascii="Calibri" w:hAnsi="Calibri"/>
          <w:sz w:val="22"/>
        </w:rPr>
        <w:t>des espaces auto avec entretien, lubrification, suivi des echeances, carnet d'entretien et suivi analytique;</w:t>
      </w:r>
    </w:p>
    <w:p>
      <w:pPr>
        <w:pStyle w:val="ListBullet"/>
        <w:spacing w:after="100"/>
      </w:pPr>
      <w:r>
        <w:rPr>
          <w:rFonts w:ascii="Calibri" w:hAnsi="Calibri"/>
          <w:sz w:val="22"/>
        </w:rPr>
        <w:t>des e-services avec paiements, transferts, assurance, tickets, location, etc.;</w:t>
      </w:r>
    </w:p>
    <w:p>
      <w:pPr>
        <w:pStyle w:val="ListBullet"/>
        <w:spacing w:after="100"/>
      </w:pPr>
      <w:r>
        <w:rPr>
          <w:rFonts w:ascii="Calibri" w:hAnsi="Calibri"/>
          <w:sz w:val="22"/>
        </w:rPr>
        <w:t>des activites qui touchent le carburant, les lubrifiants, le service, la relation client et les operations terrain;</w:t>
      </w:r>
    </w:p>
    <w:p>
      <w:pPr>
        <w:pStyle w:val="ListBullet"/>
        <w:spacing w:after="100"/>
      </w:pPr>
      <w:r>
        <w:rPr>
          <w:rFonts w:ascii="Calibri" w:hAnsi="Calibri"/>
          <w:sz w:val="22"/>
        </w:rPr>
        <w:t>des besoins visibles autour des comptes clients, du recouvrement, du risque client, des procedures, des indicateurs et de l'ERP.</w:t>
      </w:r>
    </w:p>
    <w:p>
      <w:pPr>
        <w:spacing w:after="120"/>
      </w:pPr>
      <w:r>
        <w:t>Ces signaux rendent plusieurs offres TransferAI Africa particulierement credibles.</w:t>
      </w:r>
    </w:p>
    <w:p>
      <w:pPr>
        <w:pStyle w:val="TAHeading1"/>
      </w:pPr>
      <w:r>
        <w:t>2. Offre coeur a mettre en avant</w:t>
      </w:r>
    </w:p>
    <w:p>
      <w:pPr>
        <w:pStyle w:val="TAHeading2"/>
      </w:pPr>
      <w:r>
        <w:t>2.1 Entree recommandee</w:t>
      </w:r>
    </w:p>
    <w:p>
      <w:pPr>
        <w:pStyle w:val="TAHeading1"/>
      </w:pPr>
      <w:r>
        <w:t>Audit IA gratuit - Comptes professionnels, flotte, operations et performance</w:t>
      </w:r>
    </w:p>
    <w:p>
      <w:pPr>
        <w:spacing w:after="120"/>
      </w:pPr>
      <w:r>
        <w:t>Cette offre d'entree doit ouvrir la relation.</w:t>
      </w:r>
    </w:p>
    <w:p>
      <w:pPr>
        <w:spacing w:after="120"/>
      </w:pPr>
      <w:r>
        <w:rPr>
          <w:b/>
          <w:color w:val="12355B"/>
        </w:rPr>
        <w:t>Elle permet de proposer :</w:t>
      </w:r>
    </w:p>
    <w:p>
      <w:pPr>
        <w:pStyle w:val="ListBullet"/>
        <w:spacing w:after="100"/>
      </w:pPr>
      <w:r>
        <w:rPr>
          <w:rFonts w:ascii="Calibri" w:hAnsi="Calibri"/>
          <w:sz w:val="22"/>
        </w:rPr>
        <w:t>un diagnostic sans engagement;</w:t>
      </w:r>
    </w:p>
    <w:p>
      <w:pPr>
        <w:pStyle w:val="ListBullet"/>
        <w:spacing w:after="100"/>
      </w:pPr>
      <w:r>
        <w:rPr>
          <w:rFonts w:ascii="Calibri" w:hAnsi="Calibri"/>
          <w:sz w:val="22"/>
        </w:rPr>
        <w:t>un rendez-vous de 45 minutes avec le DG ou son representant;</w:t>
      </w:r>
    </w:p>
    <w:p>
      <w:pPr>
        <w:pStyle w:val="ListBullet"/>
        <w:spacing w:after="100"/>
      </w:pPr>
      <w:r>
        <w:rPr>
          <w:rFonts w:ascii="Calibri" w:hAnsi="Calibri"/>
          <w:sz w:val="22"/>
        </w:rPr>
        <w:t>une premiere cartographie des gains rapides;</w:t>
      </w:r>
    </w:p>
    <w:p>
      <w:pPr>
        <w:pStyle w:val="ListBullet"/>
        <w:spacing w:after="100"/>
      </w:pPr>
      <w:r>
        <w:rPr>
          <w:rFonts w:ascii="Calibri" w:hAnsi="Calibri"/>
          <w:sz w:val="22"/>
        </w:rPr>
        <w:t>puis une recommandation combinant service, formation et eventuelle solution sur mesure.</w:t>
      </w:r>
    </w:p>
    <w:p>
      <w:pPr>
        <w:pStyle w:val="TAHeading2"/>
      </w:pPr>
      <w:r>
        <w:t>2.2 Pourquoi cet angle est le plus credible</w:t>
      </w:r>
    </w:p>
    <w:p>
      <w:pPr>
        <w:spacing w:after="120"/>
      </w:pPr>
      <w:r>
        <w:rPr>
          <w:b/>
          <w:color w:val="12355B"/>
        </w:rPr>
        <w:t>Parce qu'il parle :</w:t>
      </w:r>
    </w:p>
    <w:p>
      <w:pPr>
        <w:pStyle w:val="ListBullet"/>
        <w:spacing w:after="100"/>
      </w:pPr>
      <w:r>
        <w:rPr>
          <w:rFonts w:ascii="Calibri" w:hAnsi="Calibri"/>
          <w:sz w:val="22"/>
        </w:rPr>
        <w:t>de fluidite commerciale;</w:t>
      </w:r>
    </w:p>
    <w:p>
      <w:pPr>
        <w:pStyle w:val="ListBullet"/>
        <w:spacing w:after="100"/>
      </w:pPr>
      <w:r>
        <w:rPr>
          <w:rFonts w:ascii="Calibri" w:hAnsi="Calibri"/>
          <w:sz w:val="22"/>
        </w:rPr>
        <w:t>de qualite de service;</w:t>
      </w:r>
    </w:p>
    <w:p>
      <w:pPr>
        <w:pStyle w:val="ListBullet"/>
        <w:spacing w:after="100"/>
      </w:pPr>
      <w:r>
        <w:rPr>
          <w:rFonts w:ascii="Calibri" w:hAnsi="Calibri"/>
          <w:sz w:val="22"/>
        </w:rPr>
        <w:t>de suivi administratif;</w:t>
      </w:r>
    </w:p>
    <w:p>
      <w:pPr>
        <w:pStyle w:val="ListBullet"/>
        <w:spacing w:after="100"/>
      </w:pPr>
      <w:r>
        <w:rPr>
          <w:rFonts w:ascii="Calibri" w:hAnsi="Calibri"/>
          <w:sz w:val="22"/>
        </w:rPr>
        <w:t>de performance des comptes clients;</w:t>
      </w:r>
    </w:p>
    <w:p>
      <w:pPr>
        <w:pStyle w:val="ListBullet"/>
        <w:spacing w:after="100"/>
      </w:pPr>
      <w:r>
        <w:rPr>
          <w:rFonts w:ascii="Calibri" w:hAnsi="Calibri"/>
          <w:sz w:val="22"/>
        </w:rPr>
        <w:t>de pilotage de la flotte;</w:t>
      </w:r>
    </w:p>
    <w:p>
      <w:pPr>
        <w:pStyle w:val="ListBullet"/>
        <w:spacing w:after="100"/>
      </w:pPr>
      <w:r>
        <w:rPr>
          <w:rFonts w:ascii="Calibri" w:hAnsi="Calibri"/>
          <w:sz w:val="22"/>
        </w:rPr>
        <w:t>de professionnalisation des equipes.</w:t>
      </w:r>
    </w:p>
    <w:p>
      <w:pPr>
        <w:pStyle w:val="TAHeading1"/>
      </w:pPr>
      <w:r>
        <w:t>3. Catalogue de services cible pour ELTON CI</w:t>
      </w:r>
    </w:p>
    <w:p>
      <w:pPr>
        <w:pStyle w:val="TAHeading1"/>
      </w:pPr>
      <w:r>
        <w:t>3.1 Conseil, audit et cadrage</w:t>
      </w:r>
    </w:p>
    <w:p>
      <w:pPr>
        <w:pStyle w:val="TAHeading2"/>
      </w:pPr>
      <w:r>
        <w:t>Services a proposer</w:t>
      </w:r>
    </w:p>
    <w:p>
      <w:pPr>
        <w:pStyle w:val="ListBullet"/>
        <w:spacing w:after="100"/>
      </w:pPr>
      <w:r>
        <w:rPr>
          <w:rFonts w:ascii="Calibri" w:hAnsi="Calibri"/>
          <w:sz w:val="22"/>
        </w:rPr>
        <w:t>Diagnostic de maturite IA</w:t>
      </w:r>
    </w:p>
    <w:p>
      <w:pPr>
        <w:pStyle w:val="ListBullet"/>
        <w:spacing w:after="100"/>
      </w:pPr>
      <w:r>
        <w:rPr>
          <w:rFonts w:ascii="Calibri" w:hAnsi="Calibri"/>
          <w:sz w:val="22"/>
        </w:rPr>
        <w:t>Audit des processus critiques</w:t>
      </w:r>
    </w:p>
    <w:p>
      <w:pPr>
        <w:pStyle w:val="ListBullet"/>
        <w:spacing w:after="100"/>
      </w:pPr>
      <w:r>
        <w:rPr>
          <w:rFonts w:ascii="Calibri" w:hAnsi="Calibri"/>
          <w:sz w:val="22"/>
        </w:rPr>
        <w:t>Cartographie des flux d'information</w:t>
      </w:r>
    </w:p>
    <w:p>
      <w:pPr>
        <w:pStyle w:val="ListBullet"/>
        <w:spacing w:after="100"/>
      </w:pPr>
      <w:r>
        <w:rPr>
          <w:rFonts w:ascii="Calibri" w:hAnsi="Calibri"/>
          <w:sz w:val="22"/>
        </w:rPr>
        <w:t>Feuille de route d'adoption par priorites</w:t>
      </w:r>
    </w:p>
    <w:p>
      <w:pPr>
        <w:pStyle w:val="ListBullet"/>
        <w:spacing w:after="100"/>
      </w:pPr>
      <w:r>
        <w:rPr>
          <w:rFonts w:ascii="Calibri" w:hAnsi="Calibri"/>
          <w:sz w:val="22"/>
        </w:rPr>
        <w:t>Veille executive sectorielle</w:t>
      </w:r>
    </w:p>
    <w:p>
      <w:pPr>
        <w:pStyle w:val="TAHeading2"/>
      </w:pPr>
      <w:r>
        <w:t>Pourquoi c'est pertinent pour ELTON</w:t>
      </w:r>
    </w:p>
    <w:p>
      <w:pPr>
        <w:pStyle w:val="ListBullet"/>
        <w:spacing w:after="100"/>
      </w:pPr>
      <w:r>
        <w:rPr>
          <w:rFonts w:ascii="Calibri" w:hAnsi="Calibri"/>
          <w:sz w:val="22"/>
        </w:rPr>
        <w:t>activites multi-services et multi-sites;</w:t>
      </w:r>
    </w:p>
    <w:p>
      <w:pPr>
        <w:pStyle w:val="ListBullet"/>
        <w:spacing w:after="100"/>
      </w:pPr>
      <w:r>
        <w:rPr>
          <w:rFonts w:ascii="Calibri" w:hAnsi="Calibri"/>
          <w:sz w:val="22"/>
        </w:rPr>
        <w:t>risque de dispersion de l'information;</w:t>
      </w:r>
    </w:p>
    <w:p>
      <w:pPr>
        <w:pStyle w:val="ListBullet"/>
        <w:spacing w:after="100"/>
      </w:pPr>
      <w:r>
        <w:rPr>
          <w:rFonts w:ascii="Calibri" w:hAnsi="Calibri"/>
          <w:sz w:val="22"/>
        </w:rPr>
        <w:t>besoin probable de prioriser les cas d'usage avant tout deploiement;</w:t>
      </w:r>
    </w:p>
    <w:p>
      <w:pPr>
        <w:pStyle w:val="ListBullet"/>
        <w:spacing w:after="100"/>
      </w:pPr>
      <w:r>
        <w:rPr>
          <w:rFonts w:ascii="Calibri" w:hAnsi="Calibri"/>
          <w:sz w:val="22"/>
        </w:rPr>
        <w:t>besoin de cadrer l'IA autour de la performance et non de l'effet d'annonce.</w:t>
      </w:r>
    </w:p>
    <w:p>
      <w:pPr>
        <w:pStyle w:val="TAHeading1"/>
      </w:pPr>
      <w:r>
        <w:t>3.2 Comptes professionnels, credit client et administration des ventes</w:t>
      </w:r>
    </w:p>
    <w:p>
      <w:pPr>
        <w:pStyle w:val="TAHeading2"/>
      </w:pPr>
      <w:r>
        <w:t>Services a proposer</w:t>
      </w:r>
    </w:p>
    <w:p>
      <w:pPr>
        <w:pStyle w:val="ListBullet"/>
        <w:spacing w:after="100"/>
      </w:pPr>
      <w:r>
        <w:rPr>
          <w:rFonts w:ascii="Calibri" w:hAnsi="Calibri"/>
          <w:sz w:val="22"/>
        </w:rPr>
        <w:t>Copilote de comptes professionnels</w:t>
      </w:r>
    </w:p>
    <w:p>
      <w:pPr>
        <w:pStyle w:val="ListBullet"/>
        <w:spacing w:after="100"/>
      </w:pPr>
      <w:r>
        <w:rPr>
          <w:rFonts w:ascii="Calibri" w:hAnsi="Calibri"/>
          <w:sz w:val="22"/>
        </w:rPr>
        <w:t>Assistant de recouvrement et suivi des echeances</w:t>
      </w:r>
    </w:p>
    <w:p>
      <w:pPr>
        <w:pStyle w:val="ListBullet"/>
        <w:spacing w:after="100"/>
      </w:pPr>
      <w:r>
        <w:rPr>
          <w:rFonts w:ascii="Calibri" w:hAnsi="Calibri"/>
          <w:sz w:val="22"/>
        </w:rPr>
        <w:t>Syntheses automatiques des comptes clients</w:t>
      </w:r>
    </w:p>
    <w:p>
      <w:pPr>
        <w:pStyle w:val="ListBullet"/>
        <w:spacing w:after="100"/>
      </w:pPr>
      <w:r>
        <w:rPr>
          <w:rFonts w:ascii="Calibri" w:hAnsi="Calibri"/>
          <w:sz w:val="22"/>
        </w:rPr>
        <w:t>Reporting intelligent des balances, suspens et litiges</w:t>
      </w:r>
    </w:p>
    <w:p>
      <w:pPr>
        <w:pStyle w:val="ListBullet"/>
        <w:spacing w:after="100"/>
      </w:pPr>
      <w:r>
        <w:rPr>
          <w:rFonts w:ascii="Calibri" w:hAnsi="Calibri"/>
          <w:sz w:val="22"/>
        </w:rPr>
        <w:t>Preparation assistee des comites credit et revues portefeuille</w:t>
      </w:r>
    </w:p>
    <w:p>
      <w:pPr>
        <w:pStyle w:val="TAHeading2"/>
      </w:pPr>
      <w:r>
        <w:t>Formations associees</w:t>
      </w:r>
    </w:p>
    <w:p>
      <w:pPr>
        <w:pStyle w:val="ListBullet"/>
        <w:spacing w:after="100"/>
      </w:pPr>
      <w:r>
        <w:rPr>
          <w:rFonts w:ascii="Calibri" w:hAnsi="Calibri"/>
          <w:sz w:val="22"/>
        </w:rPr>
        <w:t>Reporting Financier Automatise</w:t>
      </w:r>
    </w:p>
    <w:p>
      <w:pPr>
        <w:pStyle w:val="ListBullet"/>
        <w:spacing w:after="100"/>
      </w:pPr>
      <w:r>
        <w:rPr>
          <w:rFonts w:ascii="Calibri" w:hAnsi="Calibri"/>
          <w:sz w:val="22"/>
        </w:rPr>
        <w:t>Comptabilite Automatisee avec l'IA</w:t>
      </w:r>
    </w:p>
    <w:p>
      <w:pPr>
        <w:pStyle w:val="ListBullet"/>
        <w:spacing w:after="100"/>
      </w:pPr>
      <w:r>
        <w:rPr>
          <w:rFonts w:ascii="Calibri" w:hAnsi="Calibri"/>
          <w:sz w:val="22"/>
        </w:rPr>
        <w:t>Audit Interne Augmente par l'IA</w:t>
      </w:r>
    </w:p>
    <w:p>
      <w:pPr>
        <w:pStyle w:val="ListBullet"/>
        <w:spacing w:after="100"/>
      </w:pPr>
      <w:r>
        <w:rPr>
          <w:rFonts w:ascii="Calibri" w:hAnsi="Calibri"/>
          <w:sz w:val="22"/>
        </w:rPr>
        <w:t>Excel Financier Avance avec IA</w:t>
      </w:r>
    </w:p>
    <w:p>
      <w:pPr>
        <w:pStyle w:val="ListBullet"/>
        <w:spacing w:after="100"/>
      </w:pPr>
      <w:r>
        <w:rPr>
          <w:rFonts w:ascii="Calibri" w:hAnsi="Calibri"/>
          <w:sz w:val="22"/>
        </w:rPr>
        <w:t>Gestion de la Performance avec l'IA</w:t>
      </w:r>
    </w:p>
    <w:p>
      <w:pPr>
        <w:pStyle w:val="TAHeading2"/>
      </w:pPr>
      <w:r>
        <w:t>Pourquoi c'est pertinent pour ELTON</w:t>
      </w:r>
    </w:p>
    <w:p>
      <w:pPr>
        <w:spacing w:after="120"/>
      </w:pPr>
      <w:r>
        <w:rPr>
          <w:b/>
          <w:color w:val="12355B"/>
        </w:rPr>
        <w:t>Le poste public de comptable charge de comptes clients laisse entrevoir :</w:t>
      </w:r>
    </w:p>
    <w:p>
      <w:pPr>
        <w:pStyle w:val="ListBullet"/>
        <w:spacing w:after="100"/>
      </w:pPr>
      <w:r>
        <w:rPr>
          <w:rFonts w:ascii="Calibri" w:hAnsi="Calibri"/>
          <w:sz w:val="22"/>
        </w:rPr>
        <w:t>suivi des comptes et dossiers clients;</w:t>
      </w:r>
    </w:p>
    <w:p>
      <w:pPr>
        <w:pStyle w:val="ListBullet"/>
        <w:spacing w:after="100"/>
      </w:pPr>
      <w:r>
        <w:rPr>
          <w:rFonts w:ascii="Calibri" w:hAnsi="Calibri"/>
          <w:sz w:val="22"/>
        </w:rPr>
        <w:t>controle des conditions commerciales;</w:t>
      </w:r>
    </w:p>
    <w:p>
      <w:pPr>
        <w:pStyle w:val="ListBullet"/>
        <w:spacing w:after="100"/>
      </w:pPr>
      <w:r>
        <w:rPr>
          <w:rFonts w:ascii="Calibri" w:hAnsi="Calibri"/>
          <w:sz w:val="22"/>
        </w:rPr>
        <w:t>suivi des encaissements et echeances;</w:t>
      </w:r>
    </w:p>
    <w:p>
      <w:pPr>
        <w:pStyle w:val="ListBullet"/>
        <w:spacing w:after="100"/>
      </w:pPr>
      <w:r>
        <w:rPr>
          <w:rFonts w:ascii="Calibri" w:hAnsi="Calibri"/>
          <w:sz w:val="22"/>
        </w:rPr>
        <w:t>recouvrement;</w:t>
      </w:r>
    </w:p>
    <w:p>
      <w:pPr>
        <w:pStyle w:val="ListBullet"/>
        <w:spacing w:after="100"/>
      </w:pPr>
      <w:r>
        <w:rPr>
          <w:rFonts w:ascii="Calibri" w:hAnsi="Calibri"/>
          <w:sz w:val="22"/>
        </w:rPr>
        <w:t>balances clients;</w:t>
      </w:r>
    </w:p>
    <w:p>
      <w:pPr>
        <w:pStyle w:val="ListBullet"/>
        <w:spacing w:after="100"/>
      </w:pPr>
      <w:r>
        <w:rPr>
          <w:rFonts w:ascii="Calibri" w:hAnsi="Calibri"/>
          <w:sz w:val="22"/>
        </w:rPr>
        <w:t>comites credit;</w:t>
      </w:r>
    </w:p>
    <w:p>
      <w:pPr>
        <w:pStyle w:val="ListBullet"/>
        <w:spacing w:after="100"/>
      </w:pPr>
      <w:r>
        <w:rPr>
          <w:rFonts w:ascii="Calibri" w:hAnsi="Calibri"/>
          <w:sz w:val="22"/>
        </w:rPr>
        <w:t>besoin de transmettre des informations financieres claires, synthetiques et pedagogiques.</w:t>
      </w:r>
    </w:p>
    <w:p>
      <w:pPr>
        <w:pStyle w:val="TAHeading1"/>
      </w:pPr>
      <w:r>
        <w:t>3.3 Flotte, carte carburant et operations terrain</w:t>
      </w:r>
    </w:p>
    <w:p>
      <w:pPr>
        <w:pStyle w:val="TAHeading2"/>
      </w:pPr>
      <w:r>
        <w:t>Services a proposer</w:t>
      </w:r>
    </w:p>
    <w:p>
      <w:pPr>
        <w:pStyle w:val="ListBullet"/>
        <w:spacing w:after="100"/>
      </w:pPr>
      <w:r>
        <w:rPr>
          <w:rFonts w:ascii="Calibri" w:hAnsi="Calibri"/>
          <w:sz w:val="22"/>
        </w:rPr>
        <w:t>Cockpit de pilotage flotte et cartes carburant</w:t>
      </w:r>
    </w:p>
    <w:p>
      <w:pPr>
        <w:pStyle w:val="ListBullet"/>
        <w:spacing w:after="100"/>
      </w:pPr>
      <w:r>
        <w:rPr>
          <w:rFonts w:ascii="Calibri" w:hAnsi="Calibri"/>
          <w:sz w:val="22"/>
        </w:rPr>
        <w:t>Alertes intelligentes sur anomalies ou comptes a surveiller</w:t>
      </w:r>
    </w:p>
    <w:p>
      <w:pPr>
        <w:pStyle w:val="ListBullet"/>
        <w:spacing w:after="100"/>
      </w:pPr>
      <w:r>
        <w:rPr>
          <w:rFonts w:ascii="Calibri" w:hAnsi="Calibri"/>
          <w:sz w:val="22"/>
        </w:rPr>
        <w:t>Suivi analytique des consommations</w:t>
      </w:r>
    </w:p>
    <w:p>
      <w:pPr>
        <w:pStyle w:val="ListBullet"/>
        <w:spacing w:after="100"/>
      </w:pPr>
      <w:r>
        <w:rPr>
          <w:rFonts w:ascii="Calibri" w:hAnsi="Calibri"/>
          <w:sz w:val="22"/>
        </w:rPr>
        <w:t>Aide a la preparation des rendez-vous grands comptes</w:t>
      </w:r>
    </w:p>
    <w:p>
      <w:pPr>
        <w:pStyle w:val="ListBullet"/>
        <w:spacing w:after="100"/>
      </w:pPr>
      <w:r>
        <w:rPr>
          <w:rFonts w:ascii="Calibri" w:hAnsi="Calibri"/>
          <w:sz w:val="22"/>
        </w:rPr>
        <w:t>Segmentation des comptes entreprise selon usages et potentiel</w:t>
      </w:r>
    </w:p>
    <w:p>
      <w:pPr>
        <w:pStyle w:val="TAHeading2"/>
      </w:pPr>
      <w:r>
        <w:t>Formations associees</w:t>
      </w:r>
    </w:p>
    <w:p>
      <w:pPr>
        <w:pStyle w:val="ListBullet"/>
        <w:spacing w:after="100"/>
      </w:pPr>
      <w:r>
        <w:rPr>
          <w:rFonts w:ascii="Calibri" w:hAnsi="Calibri"/>
          <w:sz w:val="22"/>
        </w:rPr>
        <w:t>Gestion de Flotte et Logistique IA</w:t>
      </w:r>
    </w:p>
    <w:p>
      <w:pPr>
        <w:pStyle w:val="ListBullet"/>
        <w:spacing w:after="100"/>
      </w:pPr>
      <w:r>
        <w:rPr>
          <w:rFonts w:ascii="Calibri" w:hAnsi="Calibri"/>
          <w:sz w:val="22"/>
        </w:rPr>
        <w:t>Planification et Suivi des Indicateurs avec l'IA</w:t>
      </w:r>
    </w:p>
    <w:p>
      <w:pPr>
        <w:pStyle w:val="ListBullet"/>
        <w:spacing w:after="100"/>
      </w:pPr>
      <w:r>
        <w:rPr>
          <w:rFonts w:ascii="Calibri" w:hAnsi="Calibri"/>
          <w:sz w:val="22"/>
        </w:rPr>
        <w:t>Optimisation des Processus Metier avec l'IA</w:t>
      </w:r>
    </w:p>
    <w:p>
      <w:pPr>
        <w:pStyle w:val="ListBullet"/>
        <w:spacing w:after="100"/>
      </w:pPr>
      <w:r>
        <w:rPr>
          <w:rFonts w:ascii="Calibri" w:hAnsi="Calibri"/>
          <w:sz w:val="22"/>
        </w:rPr>
        <w:t>Analyse d'Audience et Segmentation IA</w:t>
      </w:r>
    </w:p>
    <w:p>
      <w:pPr>
        <w:pStyle w:val="ListBullet"/>
        <w:spacing w:after="100"/>
      </w:pPr>
      <w:r>
        <w:rPr>
          <w:rFonts w:ascii="Calibri" w:hAnsi="Calibri"/>
          <w:sz w:val="22"/>
        </w:rPr>
        <w:t>Strategie Marketing Data-Driven avec l'IA</w:t>
      </w:r>
    </w:p>
    <w:p>
      <w:pPr>
        <w:pStyle w:val="TAHeading2"/>
      </w:pPr>
      <w:r>
        <w:t>Pourquoi c'est pertinent pour ELTON</w:t>
      </w:r>
    </w:p>
    <w:p>
      <w:pPr>
        <w:spacing w:after="120"/>
      </w:pPr>
      <w:r>
        <w:rPr>
          <w:b/>
          <w:color w:val="12355B"/>
        </w:rPr>
        <w:t>Le site met en avant :</w:t>
      </w:r>
    </w:p>
    <w:p>
      <w:pPr>
        <w:pStyle w:val="ListBullet"/>
        <w:spacing w:after="100"/>
      </w:pPr>
      <w:r>
        <w:rPr>
          <w:rFonts w:ascii="Calibri" w:hAnsi="Calibri"/>
          <w:sz w:val="22"/>
        </w:rPr>
        <w:t>la gestion de cartes;</w:t>
      </w:r>
    </w:p>
    <w:p>
      <w:pPr>
        <w:pStyle w:val="ListBullet"/>
        <w:spacing w:after="100"/>
      </w:pPr>
      <w:r>
        <w:rPr>
          <w:rFonts w:ascii="Calibri" w:hAnsi="Calibri"/>
          <w:sz w:val="22"/>
        </w:rPr>
        <w:t>la facturation detaillee;</w:t>
      </w:r>
    </w:p>
    <w:p>
      <w:pPr>
        <w:pStyle w:val="ListBullet"/>
        <w:spacing w:after="100"/>
      </w:pPr>
      <w:r>
        <w:rPr>
          <w:rFonts w:ascii="Calibri" w:hAnsi="Calibri"/>
          <w:sz w:val="22"/>
        </w:rPr>
        <w:t>la gestion de flotte;</w:t>
      </w:r>
    </w:p>
    <w:p>
      <w:pPr>
        <w:pStyle w:val="ListBullet"/>
        <w:spacing w:after="100"/>
      </w:pPr>
      <w:r>
        <w:rPr>
          <w:rFonts w:ascii="Calibri" w:hAnsi="Calibri"/>
          <w:sz w:val="22"/>
        </w:rPr>
        <w:t>la simplification administrative;</w:t>
      </w:r>
    </w:p>
    <w:p>
      <w:pPr>
        <w:pStyle w:val="ListBullet"/>
        <w:spacing w:after="100"/>
      </w:pPr>
      <w:r>
        <w:rPr>
          <w:rFonts w:ascii="Calibri" w:hAnsi="Calibri"/>
          <w:sz w:val="22"/>
        </w:rPr>
        <w:t>les offres destinees aux professionnels.</w:t>
      </w:r>
    </w:p>
    <w:p>
      <w:pPr>
        <w:pStyle w:val="TAHeading1"/>
      </w:pPr>
      <w:r>
        <w:t>3.4 Espace Auto, maintenance et revenus de service</w:t>
      </w:r>
    </w:p>
    <w:p>
      <w:pPr>
        <w:pStyle w:val="TAHeading2"/>
      </w:pPr>
      <w:r>
        <w:t>Services a proposer</w:t>
      </w:r>
    </w:p>
    <w:p>
      <w:pPr>
        <w:pStyle w:val="ListBullet"/>
        <w:spacing w:after="100"/>
      </w:pPr>
      <w:r>
        <w:rPr>
          <w:rFonts w:ascii="Calibri" w:hAnsi="Calibri"/>
          <w:sz w:val="22"/>
        </w:rPr>
        <w:t>Moteur de rappels entretien et reactivation client</w:t>
      </w:r>
    </w:p>
    <w:p>
      <w:pPr>
        <w:pStyle w:val="ListBullet"/>
        <w:spacing w:after="100"/>
      </w:pPr>
      <w:r>
        <w:rPr>
          <w:rFonts w:ascii="Calibri" w:hAnsi="Calibri"/>
          <w:sz w:val="22"/>
        </w:rPr>
        <w:t>Suivi des echeances de maintenance</w:t>
      </w:r>
    </w:p>
    <w:p>
      <w:pPr>
        <w:pStyle w:val="ListBullet"/>
        <w:spacing w:after="100"/>
      </w:pPr>
      <w:r>
        <w:rPr>
          <w:rFonts w:ascii="Calibri" w:hAnsi="Calibri"/>
          <w:sz w:val="22"/>
        </w:rPr>
        <w:t>Tableaux de bord de services auto</w:t>
      </w:r>
    </w:p>
    <w:p>
      <w:pPr>
        <w:pStyle w:val="ListBullet"/>
        <w:spacing w:after="100"/>
      </w:pPr>
      <w:r>
        <w:rPr>
          <w:rFonts w:ascii="Calibri" w:hAnsi="Calibri"/>
          <w:sz w:val="22"/>
        </w:rPr>
        <w:t>Aide au diagnostic commercial des revenus annexes</w:t>
      </w:r>
    </w:p>
    <w:p>
      <w:pPr>
        <w:pStyle w:val="ListBullet"/>
        <w:spacing w:after="100"/>
      </w:pPr>
      <w:r>
        <w:rPr>
          <w:rFonts w:ascii="Calibri" w:hAnsi="Calibri"/>
          <w:sz w:val="22"/>
        </w:rPr>
        <w:t>Parcours client plus fluide entre station, entretien et service</w:t>
      </w:r>
    </w:p>
    <w:p>
      <w:pPr>
        <w:pStyle w:val="TAHeading2"/>
      </w:pPr>
      <w:r>
        <w:t>Formations associees</w:t>
      </w:r>
    </w:p>
    <w:p>
      <w:pPr>
        <w:pStyle w:val="ListBullet"/>
        <w:spacing w:after="100"/>
      </w:pPr>
      <w:r>
        <w:rPr>
          <w:rFonts w:ascii="Calibri" w:hAnsi="Calibri"/>
          <w:sz w:val="22"/>
        </w:rPr>
        <w:t>Support Predictif et Maintenance Anticipee</w:t>
      </w:r>
    </w:p>
    <w:p>
      <w:pPr>
        <w:pStyle w:val="ListBullet"/>
        <w:spacing w:after="100"/>
      </w:pPr>
      <w:r>
        <w:rPr>
          <w:rFonts w:ascii="Calibri" w:hAnsi="Calibri"/>
          <w:sz w:val="22"/>
        </w:rPr>
        <w:t>CRM Intelligent et IA</w:t>
      </w:r>
    </w:p>
    <w:p>
      <w:pPr>
        <w:pStyle w:val="ListBullet"/>
        <w:spacing w:after="100"/>
      </w:pPr>
      <w:r>
        <w:rPr>
          <w:rFonts w:ascii="Calibri" w:hAnsi="Calibri"/>
          <w:sz w:val="22"/>
        </w:rPr>
        <w:t>Fidelisation Client par l'IA</w:t>
      </w:r>
    </w:p>
    <w:p>
      <w:pPr>
        <w:pStyle w:val="ListBullet"/>
        <w:spacing w:after="100"/>
      </w:pPr>
      <w:r>
        <w:rPr>
          <w:rFonts w:ascii="Calibri" w:hAnsi="Calibri"/>
          <w:sz w:val="22"/>
        </w:rPr>
        <w:t>Gestion des Reclamations Automatisee</w:t>
      </w:r>
    </w:p>
    <w:p>
      <w:pPr>
        <w:pStyle w:val="ListBullet"/>
        <w:spacing w:after="100"/>
      </w:pPr>
      <w:r>
        <w:rPr>
          <w:rFonts w:ascii="Calibri" w:hAnsi="Calibri"/>
          <w:sz w:val="22"/>
        </w:rPr>
        <w:t>Experience Client Omnicanale avec l'IA</w:t>
      </w:r>
    </w:p>
    <w:p>
      <w:pPr>
        <w:pStyle w:val="TAHeading2"/>
      </w:pPr>
      <w:r>
        <w:t>Pourquoi c'est pertinent pour ELTON</w:t>
      </w:r>
    </w:p>
    <w:p>
      <w:pPr>
        <w:spacing w:after="120"/>
      </w:pPr>
      <w:r>
        <w:rPr>
          <w:b/>
          <w:color w:val="12355B"/>
        </w:rPr>
        <w:t>Le site public mentionne :</w:t>
      </w:r>
    </w:p>
    <w:p>
      <w:pPr>
        <w:pStyle w:val="ListBullet"/>
        <w:spacing w:after="100"/>
      </w:pPr>
      <w:r>
        <w:rPr>
          <w:rFonts w:ascii="Calibri" w:hAnsi="Calibri"/>
          <w:sz w:val="22"/>
        </w:rPr>
        <w:t>suivi des echeances de vidange;</w:t>
      </w:r>
    </w:p>
    <w:p>
      <w:pPr>
        <w:pStyle w:val="ListBullet"/>
        <w:spacing w:after="100"/>
      </w:pPr>
      <w:r>
        <w:rPr>
          <w:rFonts w:ascii="Calibri" w:hAnsi="Calibri"/>
          <w:sz w:val="22"/>
        </w:rPr>
        <w:t>systeme de rappel par e-mail;</w:t>
      </w:r>
    </w:p>
    <w:p>
      <w:pPr>
        <w:pStyle w:val="ListBullet"/>
        <w:spacing w:after="100"/>
      </w:pPr>
      <w:r>
        <w:rPr>
          <w:rFonts w:ascii="Calibri" w:hAnsi="Calibri"/>
          <w:sz w:val="22"/>
        </w:rPr>
        <w:t>carnet d'entretien;</w:t>
      </w:r>
    </w:p>
    <w:p>
      <w:pPr>
        <w:pStyle w:val="ListBullet"/>
        <w:spacing w:after="100"/>
      </w:pPr>
      <w:r>
        <w:rPr>
          <w:rFonts w:ascii="Calibri" w:hAnsi="Calibri"/>
          <w:sz w:val="22"/>
        </w:rPr>
        <w:t>suivi analytique des vehicules;</w:t>
      </w:r>
    </w:p>
    <w:p>
      <w:pPr>
        <w:pStyle w:val="ListBullet"/>
        <w:spacing w:after="100"/>
      </w:pPr>
      <w:r>
        <w:rPr>
          <w:rFonts w:ascii="Calibri" w:hAnsi="Calibri"/>
          <w:sz w:val="22"/>
        </w:rPr>
        <w:t>entretien general, pneus, suspension, climatisation, freins.</w:t>
      </w:r>
    </w:p>
    <w:p>
      <w:pPr>
        <w:pStyle w:val="TAHeading1"/>
      </w:pPr>
      <w:r>
        <w:t>3.5 Service client, relation client et points de service</w:t>
      </w:r>
    </w:p>
    <w:p>
      <w:pPr>
        <w:pStyle w:val="TAHeading2"/>
      </w:pPr>
      <w:r>
        <w:t>Services a proposer</w:t>
      </w:r>
    </w:p>
    <w:p>
      <w:pPr>
        <w:pStyle w:val="ListBullet"/>
        <w:spacing w:after="100"/>
      </w:pPr>
      <w:r>
        <w:rPr>
          <w:rFonts w:ascii="Calibri" w:hAnsi="Calibri"/>
          <w:sz w:val="22"/>
        </w:rPr>
        <w:t>Base de connaissance et assistant interne de reponse</w:t>
      </w:r>
    </w:p>
    <w:p>
      <w:pPr>
        <w:pStyle w:val="ListBullet"/>
        <w:spacing w:after="100"/>
      </w:pPr>
      <w:r>
        <w:rPr>
          <w:rFonts w:ascii="Calibri" w:hAnsi="Calibri"/>
          <w:sz w:val="22"/>
        </w:rPr>
        <w:t>Assistant WhatsApp / service client encadre</w:t>
      </w:r>
    </w:p>
    <w:p>
      <w:pPr>
        <w:pStyle w:val="ListBullet"/>
        <w:spacing w:after="100"/>
      </w:pPr>
      <w:r>
        <w:rPr>
          <w:rFonts w:ascii="Calibri" w:hAnsi="Calibri"/>
          <w:sz w:val="22"/>
        </w:rPr>
        <w:t>Qualification des demandes entrantes</w:t>
      </w:r>
    </w:p>
    <w:p>
      <w:pPr>
        <w:pStyle w:val="ListBullet"/>
        <w:spacing w:after="100"/>
      </w:pPr>
      <w:r>
        <w:rPr>
          <w:rFonts w:ascii="Calibri" w:hAnsi="Calibri"/>
          <w:sz w:val="22"/>
        </w:rPr>
        <w:t>Synthese des retours clients</w:t>
      </w:r>
    </w:p>
    <w:p>
      <w:pPr>
        <w:pStyle w:val="ListBullet"/>
        <w:spacing w:after="100"/>
      </w:pPr>
      <w:r>
        <w:rPr>
          <w:rFonts w:ascii="Calibri" w:hAnsi="Calibri"/>
          <w:sz w:val="22"/>
        </w:rPr>
        <w:t>Support a la gestion des reclamations et demandes recurrentes</w:t>
      </w:r>
    </w:p>
    <w:p>
      <w:pPr>
        <w:pStyle w:val="TAHeading2"/>
      </w:pPr>
      <w:r>
        <w:t>Formations associees</w:t>
      </w:r>
    </w:p>
    <w:p>
      <w:pPr>
        <w:pStyle w:val="ListBullet"/>
        <w:spacing w:after="100"/>
      </w:pPr>
      <w:r>
        <w:rPr>
          <w:rFonts w:ascii="Calibri" w:hAnsi="Calibri"/>
          <w:sz w:val="22"/>
        </w:rPr>
        <w:t>Chatbots Intelligents pour le Service Client</w:t>
      </w:r>
    </w:p>
    <w:p>
      <w:pPr>
        <w:pStyle w:val="ListBullet"/>
        <w:spacing w:after="100"/>
      </w:pPr>
      <w:r>
        <w:rPr>
          <w:rFonts w:ascii="Calibri" w:hAnsi="Calibri"/>
          <w:sz w:val="22"/>
        </w:rPr>
        <w:t>Analyse de Sentiment et Feedback Client</w:t>
      </w:r>
    </w:p>
    <w:p>
      <w:pPr>
        <w:pStyle w:val="ListBullet"/>
        <w:spacing w:after="100"/>
      </w:pPr>
      <w:r>
        <w:rPr>
          <w:rFonts w:ascii="Calibri" w:hAnsi="Calibri"/>
          <w:sz w:val="22"/>
        </w:rPr>
        <w:t>Gestion des Reclamations Automatisee</w:t>
      </w:r>
    </w:p>
    <w:p>
      <w:pPr>
        <w:pStyle w:val="ListBullet"/>
        <w:spacing w:after="100"/>
      </w:pPr>
      <w:r>
        <w:rPr>
          <w:rFonts w:ascii="Calibri" w:hAnsi="Calibri"/>
          <w:sz w:val="22"/>
        </w:rPr>
        <w:t>Experience Client Omnicanale avec l'IA</w:t>
      </w:r>
    </w:p>
    <w:p>
      <w:pPr>
        <w:pStyle w:val="ListBullet"/>
        <w:spacing w:after="100"/>
      </w:pPr>
      <w:r>
        <w:rPr>
          <w:rFonts w:ascii="Calibri" w:hAnsi="Calibri"/>
          <w:sz w:val="22"/>
        </w:rPr>
        <w:t>CRM Intelligent et IA</w:t>
      </w:r>
    </w:p>
    <w:p>
      <w:pPr>
        <w:pStyle w:val="TAHeading2"/>
      </w:pPr>
      <w:r>
        <w:t>Pourquoi c'est pertinent pour ELTON</w:t>
      </w:r>
    </w:p>
    <w:p>
      <w:pPr>
        <w:spacing w:after="120"/>
      </w:pPr>
      <w:r>
        <w:rPr>
          <w:b/>
          <w:color w:val="12355B"/>
        </w:rPr>
        <w:t>Le groupe opere avec :</w:t>
      </w:r>
    </w:p>
    <w:p>
      <w:pPr>
        <w:pStyle w:val="ListBullet"/>
        <w:spacing w:after="100"/>
      </w:pPr>
      <w:r>
        <w:rPr>
          <w:rFonts w:ascii="Calibri" w:hAnsi="Calibri"/>
          <w:sz w:val="22"/>
        </w:rPr>
        <w:t>des stations;</w:t>
      </w:r>
    </w:p>
    <w:p>
      <w:pPr>
        <w:pStyle w:val="ListBullet"/>
        <w:spacing w:after="100"/>
      </w:pPr>
      <w:r>
        <w:rPr>
          <w:rFonts w:ascii="Calibri" w:hAnsi="Calibri"/>
          <w:sz w:val="22"/>
        </w:rPr>
        <w:t>des services auto;</w:t>
      </w:r>
    </w:p>
    <w:p>
      <w:pPr>
        <w:pStyle w:val="ListBullet"/>
        <w:spacing w:after="100"/>
      </w:pPr>
      <w:r>
        <w:rPr>
          <w:rFonts w:ascii="Calibri" w:hAnsi="Calibri"/>
          <w:sz w:val="22"/>
        </w:rPr>
        <w:t>des e-services;</w:t>
      </w:r>
    </w:p>
    <w:p>
      <w:pPr>
        <w:pStyle w:val="ListBullet"/>
        <w:spacing w:after="100"/>
      </w:pPr>
      <w:r>
        <w:rPr>
          <w:rFonts w:ascii="Calibri" w:hAnsi="Calibri"/>
          <w:sz w:val="22"/>
        </w:rPr>
        <w:t>des offres pro;</w:t>
      </w:r>
    </w:p>
    <w:p>
      <w:pPr>
        <w:pStyle w:val="ListBullet"/>
        <w:spacing w:after="100"/>
      </w:pPr>
      <w:r>
        <w:rPr>
          <w:rFonts w:ascii="Calibri" w:hAnsi="Calibri"/>
          <w:sz w:val="22"/>
        </w:rPr>
        <w:t>des demandes multiples autour de la carte, des paiements, du service commercial et du reseau.</w:t>
      </w:r>
    </w:p>
    <w:p>
      <w:pPr>
        <w:pStyle w:val="TAHeading1"/>
      </w:pPr>
      <w:r>
        <w:t>3.6 Direction generale, management et decision</w:t>
      </w:r>
    </w:p>
    <w:p>
      <w:pPr>
        <w:pStyle w:val="TAHeading2"/>
      </w:pPr>
      <w:r>
        <w:t>Services a proposer</w:t>
      </w:r>
    </w:p>
    <w:p>
      <w:pPr>
        <w:pStyle w:val="ListBullet"/>
        <w:spacing w:after="100"/>
      </w:pPr>
      <w:r>
        <w:rPr>
          <w:rFonts w:ascii="Calibri" w:hAnsi="Calibri"/>
          <w:sz w:val="22"/>
        </w:rPr>
        <w:t>Tableaux de bord de pilotage augmentes</w:t>
      </w:r>
    </w:p>
    <w:p>
      <w:pPr>
        <w:pStyle w:val="ListBullet"/>
        <w:spacing w:after="100"/>
      </w:pPr>
      <w:r>
        <w:rPr>
          <w:rFonts w:ascii="Calibri" w:hAnsi="Calibri"/>
          <w:sz w:val="22"/>
        </w:rPr>
        <w:t>Notes de decision et syntheses executifs</w:t>
      </w:r>
    </w:p>
    <w:p>
      <w:pPr>
        <w:pStyle w:val="ListBullet"/>
        <w:spacing w:after="100"/>
      </w:pPr>
      <w:r>
        <w:rPr>
          <w:rFonts w:ascii="Calibri" w:hAnsi="Calibri"/>
          <w:sz w:val="22"/>
        </w:rPr>
        <w:t>Veille executive sectorielle energie / distribution / services</w:t>
      </w:r>
    </w:p>
    <w:p>
      <w:pPr>
        <w:pStyle w:val="ListBullet"/>
        <w:spacing w:after="100"/>
      </w:pPr>
      <w:r>
        <w:rPr>
          <w:rFonts w:ascii="Calibri" w:hAnsi="Calibri"/>
          <w:sz w:val="22"/>
        </w:rPr>
        <w:t>Feuille de route transformation et adoption</w:t>
      </w:r>
    </w:p>
    <w:p>
      <w:pPr>
        <w:pStyle w:val="ListBullet"/>
        <w:spacing w:after="100"/>
      </w:pPr>
      <w:r>
        <w:rPr>
          <w:rFonts w:ascii="Calibri" w:hAnsi="Calibri"/>
          <w:sz w:val="22"/>
        </w:rPr>
        <w:t>Comite de pilotage IA et gouvernance</w:t>
      </w:r>
    </w:p>
    <w:p>
      <w:pPr>
        <w:pStyle w:val="TAHeading2"/>
      </w:pPr>
      <w:r>
        <w:t>Formations associees</w:t>
      </w:r>
    </w:p>
    <w:p>
      <w:pPr>
        <w:pStyle w:val="ListBullet"/>
        <w:spacing w:after="100"/>
      </w:pPr>
      <w:r>
        <w:rPr>
          <w:rFonts w:ascii="Calibri" w:hAnsi="Calibri"/>
          <w:sz w:val="22"/>
        </w:rPr>
        <w:t>IA pour Dirigeants : Vision et Strategie</w:t>
      </w:r>
    </w:p>
    <w:p>
      <w:pPr>
        <w:pStyle w:val="ListBullet"/>
        <w:spacing w:after="100"/>
      </w:pPr>
      <w:r>
        <w:rPr>
          <w:rFonts w:ascii="Calibri" w:hAnsi="Calibri"/>
          <w:sz w:val="22"/>
        </w:rPr>
        <w:t>Prise de Decision Strategique avec l'IA</w:t>
      </w:r>
    </w:p>
    <w:p>
      <w:pPr>
        <w:pStyle w:val="ListBullet"/>
        <w:spacing w:after="100"/>
      </w:pPr>
      <w:r>
        <w:rPr>
          <w:rFonts w:ascii="Calibri" w:hAnsi="Calibri"/>
          <w:sz w:val="22"/>
        </w:rPr>
        <w:t>Leadership Data-Driven avec l'IA</w:t>
      </w:r>
    </w:p>
    <w:p>
      <w:pPr>
        <w:pStyle w:val="ListBullet"/>
        <w:spacing w:after="100"/>
      </w:pPr>
      <w:r>
        <w:rPr>
          <w:rFonts w:ascii="Calibri" w:hAnsi="Calibri"/>
          <w:sz w:val="22"/>
        </w:rPr>
        <w:t>Planification Strategique Assistee par l'IA</w:t>
      </w:r>
    </w:p>
    <w:p>
      <w:pPr>
        <w:pStyle w:val="ListBullet"/>
        <w:spacing w:after="100"/>
      </w:pPr>
      <w:r>
        <w:rPr>
          <w:rFonts w:ascii="Calibri" w:hAnsi="Calibri"/>
          <w:sz w:val="22"/>
        </w:rPr>
        <w:t>Culture IA : Transformer les Mentalites</w:t>
      </w:r>
    </w:p>
    <w:p>
      <w:pPr>
        <w:pStyle w:val="TAHeading2"/>
      </w:pPr>
      <w:r>
        <w:t>Pourquoi c'est pertinent pour ELTON</w:t>
      </w:r>
    </w:p>
    <w:p>
      <w:pPr>
        <w:spacing w:after="120"/>
      </w:pPr>
      <w:r>
        <w:rPr>
          <w:b/>
          <w:color w:val="12355B"/>
        </w:rPr>
        <w:t>Un DG de ce type d'organisation est sensible a :</w:t>
      </w:r>
    </w:p>
    <w:p>
      <w:pPr>
        <w:pStyle w:val="ListBullet"/>
        <w:spacing w:after="100"/>
      </w:pPr>
      <w:r>
        <w:rPr>
          <w:rFonts w:ascii="Calibri" w:hAnsi="Calibri"/>
          <w:sz w:val="22"/>
        </w:rPr>
        <w:t>la lisibilite des priorites;</w:t>
      </w:r>
    </w:p>
    <w:p>
      <w:pPr>
        <w:pStyle w:val="ListBullet"/>
        <w:spacing w:after="100"/>
      </w:pPr>
      <w:r>
        <w:rPr>
          <w:rFonts w:ascii="Calibri" w:hAnsi="Calibri"/>
          <w:sz w:val="22"/>
        </w:rPr>
        <w:t>la performance commerciale;</w:t>
      </w:r>
    </w:p>
    <w:p>
      <w:pPr>
        <w:pStyle w:val="ListBullet"/>
        <w:spacing w:after="100"/>
      </w:pPr>
      <w:r>
        <w:rPr>
          <w:rFonts w:ascii="Calibri" w:hAnsi="Calibri"/>
          <w:sz w:val="22"/>
        </w:rPr>
        <w:t>le pilotage des comptes;</w:t>
      </w:r>
    </w:p>
    <w:p>
      <w:pPr>
        <w:pStyle w:val="ListBullet"/>
        <w:spacing w:after="100"/>
      </w:pPr>
      <w:r>
        <w:rPr>
          <w:rFonts w:ascii="Calibri" w:hAnsi="Calibri"/>
          <w:sz w:val="22"/>
        </w:rPr>
        <w:t>la qualite de service;</w:t>
      </w:r>
    </w:p>
    <w:p>
      <w:pPr>
        <w:pStyle w:val="ListBullet"/>
        <w:spacing w:after="100"/>
      </w:pPr>
      <w:r>
        <w:rPr>
          <w:rFonts w:ascii="Calibri" w:hAnsi="Calibri"/>
          <w:sz w:val="22"/>
        </w:rPr>
        <w:t>la capacite a faire monter l'organisation en maturite sans perturber l'exploitation.</w:t>
      </w:r>
    </w:p>
    <w:p>
      <w:pPr>
        <w:pStyle w:val="TAHeading1"/>
      </w:pPr>
      <w:r>
        <w:t>3.7 RH, formation interne et diffusion des procedures</w:t>
      </w:r>
    </w:p>
    <w:p>
      <w:pPr>
        <w:pStyle w:val="TAHeading2"/>
      </w:pPr>
      <w:r>
        <w:t>Services a proposer</w:t>
      </w:r>
    </w:p>
    <w:p>
      <w:pPr>
        <w:pStyle w:val="ListBullet"/>
        <w:spacing w:after="100"/>
      </w:pPr>
      <w:r>
        <w:rPr>
          <w:rFonts w:ascii="Calibri" w:hAnsi="Calibri"/>
          <w:sz w:val="22"/>
        </w:rPr>
        <w:t>Assistant interne de procedures</w:t>
      </w:r>
    </w:p>
    <w:p>
      <w:pPr>
        <w:pStyle w:val="ListBullet"/>
        <w:spacing w:after="100"/>
      </w:pPr>
      <w:r>
        <w:rPr>
          <w:rFonts w:ascii="Calibri" w:hAnsi="Calibri"/>
          <w:sz w:val="22"/>
        </w:rPr>
        <w:t>Organisation de parcours de montee en competences</w:t>
      </w:r>
    </w:p>
    <w:p>
      <w:pPr>
        <w:pStyle w:val="ListBullet"/>
        <w:spacing w:after="100"/>
      </w:pPr>
      <w:r>
        <w:rPr>
          <w:rFonts w:ascii="Calibri" w:hAnsi="Calibri"/>
          <w:sz w:val="22"/>
        </w:rPr>
        <w:t>Bibliotheque de reponses et standards metier</w:t>
      </w:r>
    </w:p>
    <w:p>
      <w:pPr>
        <w:pStyle w:val="ListBullet"/>
        <w:spacing w:after="100"/>
      </w:pPr>
      <w:r>
        <w:rPr>
          <w:rFonts w:ascii="Calibri" w:hAnsi="Calibri"/>
          <w:sz w:val="22"/>
        </w:rPr>
        <w:t>Appui a l'onboarding et a la diffusion des bonnes pratiques</w:t>
      </w:r>
    </w:p>
    <w:p>
      <w:pPr>
        <w:pStyle w:val="ListBullet"/>
        <w:spacing w:after="100"/>
      </w:pPr>
      <w:r>
        <w:rPr>
          <w:rFonts w:ascii="Calibri" w:hAnsi="Calibri"/>
          <w:sz w:val="22"/>
        </w:rPr>
        <w:t>Programme d'ambassadeurs IA internes</w:t>
      </w:r>
    </w:p>
    <w:p>
      <w:pPr>
        <w:pStyle w:val="TAHeading2"/>
      </w:pPr>
      <w:r>
        <w:t>Formations associees</w:t>
      </w:r>
    </w:p>
    <w:p>
      <w:pPr>
        <w:pStyle w:val="ListBullet"/>
        <w:spacing w:after="100"/>
      </w:pPr>
      <w:r>
        <w:rPr>
          <w:rFonts w:ascii="Calibri" w:hAnsi="Calibri"/>
          <w:sz w:val="22"/>
        </w:rPr>
        <w:t>Onboarding Automatise avec l'IA</w:t>
      </w:r>
    </w:p>
    <w:p>
      <w:pPr>
        <w:pStyle w:val="ListBullet"/>
        <w:spacing w:after="100"/>
      </w:pPr>
      <w:r>
        <w:rPr>
          <w:rFonts w:ascii="Calibri" w:hAnsi="Calibri"/>
          <w:sz w:val="22"/>
        </w:rPr>
        <w:t>Formation Personnalisee des Talents avec l'IA</w:t>
      </w:r>
    </w:p>
    <w:p>
      <w:pPr>
        <w:pStyle w:val="ListBullet"/>
        <w:spacing w:after="100"/>
      </w:pPr>
      <w:r>
        <w:rPr>
          <w:rFonts w:ascii="Calibri" w:hAnsi="Calibri"/>
          <w:sz w:val="22"/>
        </w:rPr>
        <w:t>Marque Employeur et IA</w:t>
      </w:r>
    </w:p>
    <w:p>
      <w:pPr>
        <w:pStyle w:val="ListBullet"/>
        <w:spacing w:after="100"/>
      </w:pPr>
      <w:r>
        <w:rPr>
          <w:rFonts w:ascii="Calibri" w:hAnsi="Calibri"/>
          <w:sz w:val="22"/>
        </w:rPr>
        <w:t>Conduite du Changement IA en Entreprise</w:t>
      </w:r>
    </w:p>
    <w:p>
      <w:pPr>
        <w:pStyle w:val="ListBullet"/>
        <w:spacing w:after="100"/>
      </w:pPr>
      <w:r>
        <w:rPr>
          <w:rFonts w:ascii="Calibri" w:hAnsi="Calibri"/>
          <w:sz w:val="22"/>
        </w:rPr>
        <w:t>Communication Manageriale et IA</w:t>
      </w:r>
    </w:p>
    <w:p>
      <w:pPr>
        <w:pStyle w:val="TAHeading2"/>
      </w:pPr>
      <w:r>
        <w:t>Pourquoi c'est pertinent pour ELTON</w:t>
      </w:r>
    </w:p>
    <w:p>
      <w:pPr>
        <w:spacing w:after="120"/>
      </w:pPr>
      <w:r>
        <w:rPr>
          <w:b/>
          <w:color w:val="12355B"/>
        </w:rPr>
        <w:t>Les besoins probables d'une structure operationnelle distribuee sont :</w:t>
      </w:r>
    </w:p>
    <w:p>
      <w:pPr>
        <w:pStyle w:val="ListBullet"/>
        <w:spacing w:after="100"/>
      </w:pPr>
      <w:r>
        <w:rPr>
          <w:rFonts w:ascii="Calibri" w:hAnsi="Calibri"/>
          <w:sz w:val="22"/>
        </w:rPr>
        <w:t>former vite;</w:t>
      </w:r>
    </w:p>
    <w:p>
      <w:pPr>
        <w:pStyle w:val="ListBullet"/>
        <w:spacing w:after="100"/>
      </w:pPr>
      <w:r>
        <w:rPr>
          <w:rFonts w:ascii="Calibri" w:hAnsi="Calibri"/>
          <w:sz w:val="22"/>
        </w:rPr>
        <w:t>diffuser les procedures;</w:t>
      </w:r>
    </w:p>
    <w:p>
      <w:pPr>
        <w:pStyle w:val="ListBullet"/>
        <w:spacing w:after="100"/>
      </w:pPr>
      <w:r>
        <w:rPr>
          <w:rFonts w:ascii="Calibri" w:hAnsi="Calibri"/>
          <w:sz w:val="22"/>
        </w:rPr>
        <w:t>homogeniser les pratiques;</w:t>
      </w:r>
    </w:p>
    <w:p>
      <w:pPr>
        <w:pStyle w:val="ListBullet"/>
        <w:spacing w:after="100"/>
      </w:pPr>
      <w:r>
        <w:rPr>
          <w:rFonts w:ascii="Calibri" w:hAnsi="Calibri"/>
          <w:sz w:val="22"/>
        </w:rPr>
        <w:t>reduire la dependance a quelques experts.</w:t>
      </w:r>
    </w:p>
    <w:p>
      <w:pPr>
        <w:pStyle w:val="TAHeading1"/>
      </w:pPr>
      <w:r>
        <w:t>3.8 IT, data, integration et gouvernance</w:t>
      </w:r>
    </w:p>
    <w:p>
      <w:pPr>
        <w:pStyle w:val="TAHeading2"/>
      </w:pPr>
      <w:r>
        <w:t>Services a proposer</w:t>
      </w:r>
    </w:p>
    <w:p>
      <w:pPr>
        <w:pStyle w:val="ListBullet"/>
        <w:spacing w:after="100"/>
      </w:pPr>
      <w:r>
        <w:rPr>
          <w:rFonts w:ascii="Calibri" w:hAnsi="Calibri"/>
          <w:sz w:val="22"/>
        </w:rPr>
        <w:t>Integration d'outils IA dans l'environnement de travail</w:t>
      </w:r>
    </w:p>
    <w:p>
      <w:pPr>
        <w:pStyle w:val="ListBullet"/>
        <w:spacing w:after="100"/>
      </w:pPr>
      <w:r>
        <w:rPr>
          <w:rFonts w:ascii="Calibri" w:hAnsi="Calibri"/>
          <w:sz w:val="22"/>
        </w:rPr>
        <w:t>APIs et orchestration de services IA</w:t>
      </w:r>
    </w:p>
    <w:p>
      <w:pPr>
        <w:pStyle w:val="ListBullet"/>
        <w:spacing w:after="100"/>
      </w:pPr>
      <w:r>
        <w:rPr>
          <w:rFonts w:ascii="Calibri" w:hAnsi="Calibri"/>
          <w:sz w:val="22"/>
        </w:rPr>
        <w:t>Architecture de solutions IA</w:t>
      </w:r>
    </w:p>
    <w:p>
      <w:pPr>
        <w:pStyle w:val="ListBullet"/>
        <w:spacing w:after="100"/>
      </w:pPr>
      <w:r>
        <w:rPr>
          <w:rFonts w:ascii="Calibri" w:hAnsi="Calibri"/>
          <w:sz w:val="22"/>
        </w:rPr>
        <w:t>Gouvernance IT et strategie IA</w:t>
      </w:r>
    </w:p>
    <w:p>
      <w:pPr>
        <w:pStyle w:val="ListBullet"/>
        <w:spacing w:after="100"/>
      </w:pPr>
      <w:r>
        <w:rPr>
          <w:rFonts w:ascii="Calibri" w:hAnsi="Calibri"/>
          <w:sz w:val="22"/>
        </w:rPr>
        <w:t>Protection des donnees, filtrage et controle d'acces</w:t>
      </w:r>
    </w:p>
    <w:p>
      <w:pPr>
        <w:pStyle w:val="TAHeading2"/>
      </w:pPr>
      <w:r>
        <w:t>Formations associees</w:t>
      </w:r>
    </w:p>
    <w:p>
      <w:pPr>
        <w:pStyle w:val="ListBullet"/>
        <w:spacing w:after="100"/>
      </w:pPr>
      <w:r>
        <w:rPr>
          <w:rFonts w:ascii="Calibri" w:hAnsi="Calibri"/>
          <w:sz w:val="22"/>
        </w:rPr>
        <w:t>Integration d'Outils IA en Entreprise</w:t>
      </w:r>
    </w:p>
    <w:p>
      <w:pPr>
        <w:pStyle w:val="ListBullet"/>
        <w:spacing w:after="100"/>
      </w:pPr>
      <w:r>
        <w:rPr>
          <w:rFonts w:ascii="Calibri" w:hAnsi="Calibri"/>
          <w:sz w:val="22"/>
        </w:rPr>
        <w:t>APIs et Integration de Services IA</w:t>
      </w:r>
    </w:p>
    <w:p>
      <w:pPr>
        <w:pStyle w:val="ListBullet"/>
        <w:spacing w:after="100"/>
      </w:pPr>
      <w:r>
        <w:rPr>
          <w:rFonts w:ascii="Calibri" w:hAnsi="Calibri"/>
          <w:sz w:val="22"/>
        </w:rPr>
        <w:t>Architecture de Solutions IA</w:t>
      </w:r>
    </w:p>
    <w:p>
      <w:pPr>
        <w:pStyle w:val="ListBullet"/>
        <w:spacing w:after="100"/>
      </w:pPr>
      <w:r>
        <w:rPr>
          <w:rFonts w:ascii="Calibri" w:hAnsi="Calibri"/>
          <w:sz w:val="22"/>
        </w:rPr>
        <w:t>Gouvernance IT et Strategie IA</w:t>
      </w:r>
    </w:p>
    <w:p>
      <w:pPr>
        <w:pStyle w:val="ListBullet"/>
        <w:spacing w:after="100"/>
      </w:pPr>
      <w:r>
        <w:rPr>
          <w:rFonts w:ascii="Calibri" w:hAnsi="Calibri"/>
          <w:sz w:val="22"/>
        </w:rPr>
        <w:t>Cybersecurite et IA : Detection des Menaces</w:t>
      </w:r>
    </w:p>
    <w:p>
      <w:pPr>
        <w:pStyle w:val="TAHeading2"/>
      </w:pPr>
      <w:r>
        <w:t>Pourquoi c'est pertinent pour ELTON</w:t>
      </w:r>
    </w:p>
    <w:p>
      <w:pPr>
        <w:spacing w:after="120"/>
      </w:pPr>
      <w:r>
        <w:rPr>
          <w:b/>
          <w:color w:val="12355B"/>
        </w:rPr>
        <w:t>Les activites visibles et les references a l'ERP, aux donnees clients et aux processus administratifs suggerent que :</w:t>
      </w:r>
    </w:p>
    <w:p>
      <w:pPr>
        <w:pStyle w:val="ListBullet"/>
        <w:spacing w:after="100"/>
      </w:pPr>
      <w:r>
        <w:rPr>
          <w:rFonts w:ascii="Calibri" w:hAnsi="Calibri"/>
          <w:sz w:val="22"/>
        </w:rPr>
        <w:t>l'integration comptera autant que l'idee de depart;</w:t>
      </w:r>
    </w:p>
    <w:p>
      <w:pPr>
        <w:pStyle w:val="ListBullet"/>
        <w:spacing w:after="100"/>
      </w:pPr>
      <w:r>
        <w:rPr>
          <w:rFonts w:ascii="Calibri" w:hAnsi="Calibri"/>
          <w:sz w:val="22"/>
        </w:rPr>
        <w:t>la gouvernance sera critique;</w:t>
      </w:r>
    </w:p>
    <w:p>
      <w:pPr>
        <w:pStyle w:val="ListBullet"/>
        <w:spacing w:after="100"/>
      </w:pPr>
      <w:r>
        <w:rPr>
          <w:rFonts w:ascii="Calibri" w:hAnsi="Calibri"/>
          <w:sz w:val="22"/>
        </w:rPr>
        <w:t>la protection des donnees devra etre encadree.</w:t>
      </w:r>
    </w:p>
    <w:p>
      <w:pPr>
        <w:pStyle w:val="TAHeading1"/>
      </w:pPr>
      <w:r>
        <w:t>3.9 Juridique, conformite, donnees et HSE</w:t>
      </w:r>
    </w:p>
    <w:p>
      <w:pPr>
        <w:pStyle w:val="TAHeading2"/>
      </w:pPr>
      <w:r>
        <w:t>Services a proposer</w:t>
      </w:r>
    </w:p>
    <w:p>
      <w:pPr>
        <w:pStyle w:val="ListBullet"/>
        <w:spacing w:after="100"/>
      </w:pPr>
      <w:r>
        <w:rPr>
          <w:rFonts w:ascii="Calibri" w:hAnsi="Calibri"/>
          <w:sz w:val="22"/>
        </w:rPr>
        <w:t>Cadre de gouvernance des donnees avant exposition a un LLM</w:t>
      </w:r>
    </w:p>
    <w:p>
      <w:pPr>
        <w:pStyle w:val="ListBullet"/>
        <w:spacing w:after="100"/>
      </w:pPr>
      <w:r>
        <w:rPr>
          <w:rFonts w:ascii="Calibri" w:hAnsi="Calibri"/>
          <w:sz w:val="22"/>
        </w:rPr>
        <w:t>Politique de confidentialite et d'usages IA</w:t>
      </w:r>
    </w:p>
    <w:p>
      <w:pPr>
        <w:pStyle w:val="ListBullet"/>
        <w:spacing w:after="100"/>
      </w:pPr>
      <w:r>
        <w:rPr>
          <w:rFonts w:ascii="Calibri" w:hAnsi="Calibri"/>
          <w:sz w:val="22"/>
        </w:rPr>
        <w:t>Cartographie des donnees sensibles</w:t>
      </w:r>
    </w:p>
    <w:p>
      <w:pPr>
        <w:pStyle w:val="ListBullet"/>
        <w:spacing w:after="100"/>
      </w:pPr>
      <w:r>
        <w:rPr>
          <w:rFonts w:ascii="Calibri" w:hAnsi="Calibri"/>
          <w:sz w:val="22"/>
        </w:rPr>
        <w:t>Regles de protection, pseudonymisation et controle d'acces</w:t>
      </w:r>
    </w:p>
    <w:p>
      <w:pPr>
        <w:pStyle w:val="ListBullet"/>
        <w:spacing w:after="100"/>
      </w:pPr>
      <w:r>
        <w:rPr>
          <w:rFonts w:ascii="Calibri" w:hAnsi="Calibri"/>
          <w:sz w:val="22"/>
        </w:rPr>
        <w:t>Veille reglementaire sectorielle</w:t>
      </w:r>
    </w:p>
    <w:p>
      <w:pPr>
        <w:pStyle w:val="TAHeading2"/>
      </w:pPr>
      <w:r>
        <w:t>Formations associees</w:t>
      </w:r>
    </w:p>
    <w:p>
      <w:pPr>
        <w:pStyle w:val="ListBullet"/>
        <w:spacing w:after="100"/>
      </w:pPr>
      <w:r>
        <w:rPr>
          <w:rFonts w:ascii="Calibri" w:hAnsi="Calibri"/>
          <w:sz w:val="22"/>
        </w:rPr>
        <w:t>RGPD et Protection des Donnees avec l'IA</w:t>
      </w:r>
    </w:p>
    <w:p>
      <w:pPr>
        <w:pStyle w:val="ListBullet"/>
        <w:spacing w:after="100"/>
      </w:pPr>
      <w:r>
        <w:rPr>
          <w:rFonts w:ascii="Calibri" w:hAnsi="Calibri"/>
          <w:sz w:val="22"/>
        </w:rPr>
        <w:t>Veille Reglementaire Automatisee</w:t>
      </w:r>
    </w:p>
    <w:p>
      <w:pPr>
        <w:pStyle w:val="ListBullet"/>
        <w:spacing w:after="100"/>
      </w:pPr>
      <w:r>
        <w:rPr>
          <w:rFonts w:ascii="Calibri" w:hAnsi="Calibri"/>
          <w:sz w:val="22"/>
        </w:rPr>
        <w:t>Legal Tech : Outils IA pour Juristes</w:t>
      </w:r>
    </w:p>
    <w:p>
      <w:pPr>
        <w:pStyle w:val="ListBullet"/>
        <w:spacing w:after="100"/>
      </w:pPr>
      <w:r>
        <w:rPr>
          <w:rFonts w:ascii="Calibri" w:hAnsi="Calibri"/>
          <w:sz w:val="22"/>
        </w:rPr>
        <w:t>Conformite HSE et IA</w:t>
      </w:r>
    </w:p>
    <w:p>
      <w:pPr>
        <w:pStyle w:val="ListBullet"/>
        <w:spacing w:after="100"/>
      </w:pPr>
      <w:r>
        <w:rPr>
          <w:rFonts w:ascii="Calibri" w:hAnsi="Calibri"/>
          <w:sz w:val="22"/>
        </w:rPr>
        <w:t>Prevention des Risques Professionnels avec l'IA</w:t>
      </w:r>
    </w:p>
    <w:p>
      <w:pPr>
        <w:pStyle w:val="TAHeading2"/>
      </w:pPr>
      <w:r>
        <w:t>Pourquoi c'est pertinent pour ELTON</w:t>
      </w:r>
    </w:p>
    <w:p>
      <w:pPr>
        <w:spacing w:after="120"/>
      </w:pPr>
      <w:r>
        <w:rPr>
          <w:b/>
          <w:color w:val="12355B"/>
        </w:rPr>
        <w:t>Une entreprise internationale ou regionale de cette nature doit pouvoir entendre que :</w:t>
      </w:r>
    </w:p>
    <w:p>
      <w:pPr>
        <w:pStyle w:val="ListBullet"/>
        <w:spacing w:after="100"/>
      </w:pPr>
      <w:r>
        <w:rPr>
          <w:rFonts w:ascii="Calibri" w:hAnsi="Calibri"/>
          <w:sz w:val="22"/>
        </w:rPr>
        <w:t>la confidentialite n'est pas un sujet secondaire;</w:t>
      </w:r>
    </w:p>
    <w:p>
      <w:pPr>
        <w:pStyle w:val="ListBullet"/>
        <w:spacing w:after="100"/>
      </w:pPr>
      <w:r>
        <w:rPr>
          <w:rFonts w:ascii="Calibri" w:hAnsi="Calibri"/>
          <w:sz w:val="22"/>
        </w:rPr>
        <w:t>les donnees operationnelles, clients et commerciales doivent etre protegees;</w:t>
      </w:r>
    </w:p>
    <w:p>
      <w:pPr>
        <w:pStyle w:val="ListBullet"/>
        <w:spacing w:after="100"/>
      </w:pPr>
      <w:r>
        <w:rPr>
          <w:rFonts w:ascii="Calibri" w:hAnsi="Calibri"/>
          <w:sz w:val="22"/>
        </w:rPr>
        <w:t>les usages IA doivent etre gouvernes avant d'etre industrialises.</w:t>
      </w:r>
    </w:p>
    <w:p>
      <w:pPr>
        <w:pStyle w:val="TAHeading1"/>
      </w:pPr>
      <w:r>
        <w:t>4. Formations les plus pertinentes a sortir en premier</w:t>
      </w:r>
    </w:p>
    <w:p>
      <w:pPr>
        <w:spacing w:after="120"/>
      </w:pPr>
      <w:r>
        <w:rPr>
          <w:b/>
          <w:color w:val="12355B"/>
        </w:rPr>
        <w:t>Si nous devons remettre un mini-catalogue executif au DG, je recommande de commencer par ces 12 formations :</w:t>
      </w:r>
    </w:p>
    <w:p>
      <w:pPr>
        <w:pStyle w:val="ListNumber"/>
        <w:spacing w:after="100"/>
      </w:pPr>
      <w:r>
        <w:rPr>
          <w:rFonts w:ascii="Calibri" w:hAnsi="Calibri"/>
          <w:sz w:val="22"/>
        </w:rPr>
        <w:t>IA pour Dirigeants : Vision et Strategie</w:t>
      </w:r>
    </w:p>
    <w:p>
      <w:pPr>
        <w:pStyle w:val="ListNumber"/>
        <w:spacing w:after="100"/>
      </w:pPr>
      <w:r>
        <w:rPr>
          <w:rFonts w:ascii="Calibri" w:hAnsi="Calibri"/>
          <w:sz w:val="22"/>
        </w:rPr>
        <w:t>Gestion de Flotte et Logistique IA</w:t>
      </w:r>
    </w:p>
    <w:p>
      <w:pPr>
        <w:pStyle w:val="ListNumber"/>
        <w:spacing w:after="100"/>
      </w:pPr>
      <w:r>
        <w:rPr>
          <w:rFonts w:ascii="Calibri" w:hAnsi="Calibri"/>
          <w:sz w:val="22"/>
        </w:rPr>
        <w:t>Reporting Financier Automatise</w:t>
      </w:r>
    </w:p>
    <w:p>
      <w:pPr>
        <w:pStyle w:val="ListNumber"/>
        <w:spacing w:after="100"/>
      </w:pPr>
      <w:r>
        <w:rPr>
          <w:rFonts w:ascii="Calibri" w:hAnsi="Calibri"/>
          <w:sz w:val="22"/>
        </w:rPr>
        <w:t>Comptabilite Automatisee avec l'IA</w:t>
      </w:r>
    </w:p>
    <w:p>
      <w:pPr>
        <w:pStyle w:val="ListNumber"/>
        <w:spacing w:after="100"/>
      </w:pPr>
      <w:r>
        <w:rPr>
          <w:rFonts w:ascii="Calibri" w:hAnsi="Calibri"/>
          <w:sz w:val="22"/>
        </w:rPr>
        <w:t>Audit Interne Augmente par l'IA</w:t>
      </w:r>
    </w:p>
    <w:p>
      <w:pPr>
        <w:pStyle w:val="ListNumber"/>
        <w:spacing w:after="100"/>
      </w:pPr>
      <w:r>
        <w:rPr>
          <w:rFonts w:ascii="Calibri" w:hAnsi="Calibri"/>
          <w:sz w:val="22"/>
        </w:rPr>
        <w:t>CRM Intelligent et IA</w:t>
      </w:r>
    </w:p>
    <w:p>
      <w:pPr>
        <w:pStyle w:val="ListNumber"/>
        <w:spacing w:after="100"/>
      </w:pPr>
      <w:r>
        <w:rPr>
          <w:rFonts w:ascii="Calibri" w:hAnsi="Calibri"/>
          <w:sz w:val="22"/>
        </w:rPr>
        <w:t>Gestion des Reclamations Automatisee</w:t>
      </w:r>
    </w:p>
    <w:p>
      <w:pPr>
        <w:pStyle w:val="ListNumber"/>
        <w:spacing w:after="100"/>
      </w:pPr>
      <w:r>
        <w:rPr>
          <w:rFonts w:ascii="Calibri" w:hAnsi="Calibri"/>
          <w:sz w:val="22"/>
        </w:rPr>
        <w:t>Support Predictif et Maintenance Anticipee</w:t>
      </w:r>
    </w:p>
    <w:p>
      <w:pPr>
        <w:pStyle w:val="ListNumber"/>
        <w:spacing w:after="100"/>
      </w:pPr>
      <w:r>
        <w:rPr>
          <w:rFonts w:ascii="Calibri" w:hAnsi="Calibri"/>
          <w:sz w:val="22"/>
        </w:rPr>
        <w:t>Optimisation des Processus Metier avec l'IA</w:t>
      </w:r>
    </w:p>
    <w:p>
      <w:pPr>
        <w:pStyle w:val="ListNumber"/>
        <w:spacing w:after="100"/>
      </w:pPr>
      <w:r>
        <w:rPr>
          <w:rFonts w:ascii="Calibri" w:hAnsi="Calibri"/>
          <w:sz w:val="22"/>
        </w:rPr>
        <w:t>Conduite du Changement IA en Entreprise</w:t>
      </w:r>
    </w:p>
    <w:p>
      <w:pPr>
        <w:pStyle w:val="ListNumber"/>
        <w:spacing w:after="100"/>
      </w:pPr>
      <w:r>
        <w:rPr>
          <w:rFonts w:ascii="Calibri" w:hAnsi="Calibri"/>
          <w:sz w:val="22"/>
        </w:rPr>
        <w:t>Integration d'Outils IA en Entreprise</w:t>
      </w:r>
    </w:p>
    <w:p>
      <w:pPr>
        <w:pStyle w:val="ListNumber"/>
        <w:spacing w:after="100"/>
      </w:pPr>
      <w:r>
        <w:rPr>
          <w:rFonts w:ascii="Calibri" w:hAnsi="Calibri"/>
          <w:sz w:val="22"/>
        </w:rPr>
        <w:t>RGPD et Protection des Donnees avec l'IA</w:t>
      </w:r>
    </w:p>
    <w:p>
      <w:pPr>
        <w:pStyle w:val="TAHeading1"/>
      </w:pPr>
      <w:r>
        <w:t>5. Sequence commerciale recommandee</w:t>
      </w:r>
    </w:p>
    <w:p>
      <w:pPr>
        <w:pStyle w:val="TAHeading2"/>
      </w:pPr>
      <w:r>
        <w:t>Etape 1</w:t>
      </w:r>
    </w:p>
    <w:p>
      <w:pPr>
        <w:spacing w:after="120"/>
      </w:pPr>
      <w:r>
        <w:rPr>
          <w:b/>
          <w:color w:val="12355B"/>
        </w:rPr>
        <w:t>Entrer par :</w:t>
      </w:r>
    </w:p>
    <w:p>
      <w:pPr>
        <w:pStyle w:val="ListBullet"/>
        <w:spacing w:after="100"/>
      </w:pPr>
      <w:r>
        <w:rPr>
          <w:rFonts w:ascii="Calibri" w:hAnsi="Calibri"/>
          <w:sz w:val="22"/>
        </w:rPr>
        <w:t>audit gratuit</w:t>
      </w:r>
    </w:p>
    <w:p>
      <w:pPr>
        <w:pStyle w:val="ListBullet"/>
        <w:spacing w:after="100"/>
      </w:pPr>
      <w:r>
        <w:rPr>
          <w:rFonts w:ascii="Calibri" w:hAnsi="Calibri"/>
          <w:sz w:val="22"/>
        </w:rPr>
        <w:t>rendez-vous gratuit de 45 minutes</w:t>
      </w:r>
    </w:p>
    <w:p>
      <w:pPr>
        <w:pStyle w:val="TAHeading2"/>
      </w:pPr>
      <w:r>
        <w:t>Etape 2</w:t>
      </w:r>
    </w:p>
    <w:p>
      <w:pPr>
        <w:spacing w:after="120"/>
      </w:pPr>
      <w:r>
        <w:rPr>
          <w:b/>
          <w:color w:val="12355B"/>
        </w:rPr>
        <w:t>Montrer 3 briques :</w:t>
      </w:r>
    </w:p>
    <w:p>
      <w:pPr>
        <w:pStyle w:val="ListBullet"/>
        <w:spacing w:after="100"/>
      </w:pPr>
      <w:r>
        <w:rPr>
          <w:rFonts w:ascii="Calibri" w:hAnsi="Calibri"/>
          <w:sz w:val="22"/>
        </w:rPr>
        <w:t>service: audit, cadrage, accompagnement, gouvernance;</w:t>
      </w:r>
    </w:p>
    <w:p>
      <w:pPr>
        <w:pStyle w:val="ListBullet"/>
        <w:spacing w:after="100"/>
      </w:pPr>
      <w:r>
        <w:rPr>
          <w:rFonts w:ascii="Calibri" w:hAnsi="Calibri"/>
          <w:sz w:val="22"/>
        </w:rPr>
        <w:t>formation: dirigeants, managers, equipes metier, IT;</w:t>
      </w:r>
    </w:p>
    <w:p>
      <w:pPr>
        <w:pStyle w:val="ListBullet"/>
        <w:spacing w:after="100"/>
      </w:pPr>
      <w:r>
        <w:rPr>
          <w:rFonts w:ascii="Calibri" w:hAnsi="Calibri"/>
          <w:sz w:val="22"/>
        </w:rPr>
        <w:t>solution: copilote, reporting, base de connaissance, automatisation ou cockpit.</w:t>
      </w:r>
    </w:p>
    <w:p>
      <w:pPr>
        <w:pStyle w:val="TAHeading2"/>
      </w:pPr>
      <w:r>
        <w:t>Etape 3</w:t>
      </w:r>
    </w:p>
    <w:p>
      <w:pPr>
        <w:spacing w:after="120"/>
      </w:pPr>
      <w:r>
        <w:rPr>
          <w:b/>
          <w:color w:val="12355B"/>
        </w:rPr>
        <w:t>Faire choisir un premier terrain pilote :</w:t>
      </w:r>
    </w:p>
    <w:p>
      <w:pPr>
        <w:pStyle w:val="ListBullet"/>
        <w:spacing w:after="100"/>
      </w:pPr>
      <w:r>
        <w:rPr>
          <w:rFonts w:ascii="Calibri" w:hAnsi="Calibri"/>
          <w:sz w:val="22"/>
        </w:rPr>
        <w:t>comptes professionnels;</w:t>
      </w:r>
    </w:p>
    <w:p>
      <w:pPr>
        <w:pStyle w:val="ListBullet"/>
        <w:spacing w:after="100"/>
      </w:pPr>
      <w:r>
        <w:rPr>
          <w:rFonts w:ascii="Calibri" w:hAnsi="Calibri"/>
          <w:sz w:val="22"/>
        </w:rPr>
        <w:t>recouvrement / finance;</w:t>
      </w:r>
    </w:p>
    <w:p>
      <w:pPr>
        <w:pStyle w:val="ListBullet"/>
        <w:spacing w:after="100"/>
      </w:pPr>
      <w:r>
        <w:rPr>
          <w:rFonts w:ascii="Calibri" w:hAnsi="Calibri"/>
          <w:sz w:val="22"/>
        </w:rPr>
        <w:t>flotte / carte carburant;</w:t>
      </w:r>
    </w:p>
    <w:p>
      <w:pPr>
        <w:pStyle w:val="ListBullet"/>
        <w:spacing w:after="100"/>
      </w:pPr>
      <w:r>
        <w:rPr>
          <w:rFonts w:ascii="Calibri" w:hAnsi="Calibri"/>
          <w:sz w:val="22"/>
        </w:rPr>
        <w:t>espace auto / rappels;</w:t>
      </w:r>
    </w:p>
    <w:p>
      <w:pPr>
        <w:pStyle w:val="ListBullet"/>
        <w:spacing w:after="100"/>
      </w:pPr>
      <w:r>
        <w:rPr>
          <w:rFonts w:ascii="Calibri" w:hAnsi="Calibri"/>
          <w:sz w:val="22"/>
        </w:rPr>
        <w:t>procedures / formation interne.</w:t>
      </w:r>
    </w:p>
    <w:p>
      <w:pPr>
        <w:pStyle w:val="TAHeading1"/>
      </w:pPr>
      <w:r>
        <w:t>6. Message commercial a retenir</w:t>
      </w:r>
    </w:p>
    <w:p>
      <w:pPr>
        <w:spacing w:after="120"/>
      </w:pPr>
      <w:r>
        <w:rPr>
          <w:b/>
          <w:color w:val="12355B"/>
        </w:rPr>
        <w:t>La bonne formule a tenir face au DG est la suivante :</w:t>
      </w:r>
    </w:p>
    <w:p>
      <w:pPr>
        <w:pStyle w:val="TAHeading1"/>
      </w:pPr>
      <w:r>
        <w:t>TransferAI Africa n'apporte pas seulement une technologie. Nous apportons un service de diagnostic, de structuration, de formation et de mise en oeuvre, dans lequel l'IA est mise au service de la performance, de la qualite de service et de la montee en competences des equipes.</w:t>
      </w:r>
    </w:p>
    <w:p>
      <w:pPr>
        <w:pStyle w:val="TAHeading1"/>
      </w:pPr>
      <w:r>
        <w:t>Sources</w:t>
      </w:r>
    </w:p>
    <w:p>
      <w:pPr>
        <w:spacing w:after="80"/>
      </w:pPr>
      <w:r>
        <w:rPr>
          <w:sz w:val="21"/>
        </w:rPr>
        <w:t>• Site officiel ELTON - Accueil: https://www.eltonoil.com/</w:t>
      </w:r>
    </w:p>
    <w:p>
      <w:pPr>
        <w:spacing w:after="80"/>
      </w:pPr>
      <w:r>
        <w:rPr>
          <w:sz w:val="21"/>
        </w:rPr>
        <w:t>• Site officiel ELTON - Carte OASIS: https://www.eltonoil.com/produits-et-services/carte-oasis/</w:t>
      </w:r>
    </w:p>
    <w:p>
      <w:pPr>
        <w:spacing w:after="80"/>
      </w:pPr>
      <w:r>
        <w:rPr>
          <w:sz w:val="21"/>
        </w:rPr>
        <w:t>• Site officiel ELTON - Offres Pro: https://www.eltonoil.com/produits-et-services/offres-professionnelles/</w:t>
      </w:r>
    </w:p>
    <w:p>
      <w:pPr>
        <w:spacing w:after="80"/>
      </w:pPr>
      <w:r>
        <w:rPr>
          <w:sz w:val="21"/>
        </w:rPr>
        <w:t>• Site officiel ELTON - Espace Auto: https://www.eltonoil.com/produits-et-services/espace-auto/</w:t>
      </w:r>
    </w:p>
    <w:p>
      <w:pPr>
        <w:spacing w:after="80"/>
      </w:pPr>
      <w:r>
        <w:rPr>
          <w:sz w:val="21"/>
        </w:rPr>
        <w:t>• Site officiel ELTON - E-services: https://www.eltonoil.com/produits-et-services/e-services/</w:t>
      </w:r>
    </w:p>
    <w:p>
      <w:pPr>
        <w:spacing w:after="80"/>
      </w:pPr>
      <w:r>
        <w:rPr>
          <w:sz w:val="21"/>
        </w:rPr>
        <w:t>• Site officiel ELTON - A propos / strategie: https://www.eltonoil.com/la-societe-elton/</w:t>
      </w:r>
    </w:p>
    <w:p>
      <w:pPr>
        <w:spacing w:after="80"/>
      </w:pPr>
      <w:r>
        <w:rPr>
          <w:sz w:val="21"/>
        </w:rPr>
        <w:t>• Site officiel ELTON - Offre charge de comptes clients: https://www.eltonoil.com/un-comptable-charge-de-comptes-clients/</w:t>
      </w:r>
    </w:p>
    <w:p>
      <w:pPr>
        <w:spacing w:after="80"/>
      </w:pPr>
      <w:r>
        <w:rPr>
          <w:sz w:val="21"/>
        </w:rPr>
        <w:t>• Site officiel ELTON - Accord MODEC: https://www.eltonoil.com/elton-et-modec-signent-un-accord-pour-lavitaillement-en-carburant-du-fpso-leopold-sedar-senghor/</w:t>
      </w:r>
    </w:p>
    <w:p>
      <w:pPr>
        <w:spacing w:after="80"/>
      </w:pPr>
      <w:r>
        <w:rPr>
          <w:sz w:val="21"/>
        </w:rPr>
        <w:t>• Catalogue formations TransferAI Africa - referentiel interne du repo: /Users/marius_ayoro/Documents/GitHub/connect-ia-bloom/src/data/formations.ts</w:t>
      </w:r>
    </w:p>
    <w:p>
      <w:pPr>
        <w:spacing w:after="80"/>
      </w:pPr>
      <w:r>
        <w:rPr>
          <w:sz w:val="21"/>
        </w:rPr>
        <w:t>• Services TransferAI Africa - referentiel interne du repo: /Users/marius_ayoro/Documents/GitHub/connect-ia-bloom/src/i18n/translations/fr.ts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D9DDE3"/>
      </w:pbdr>
    </w:pPr>
    <w:r>
      <w:rPr>
        <w:rFonts w:ascii="Calibri" w:hAnsi="Calibri"/>
        <w:color w:val="6B7280"/>
        <w:sz w:val="18"/>
      </w:rPr>
      <w:t>TransferAI Africa | Catalogue cible Elton Oil CI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Title">
    <w:name w:val="TA Title"/>
    <w:basedOn w:val="Title"/>
    <w:rPr>
      <w:rFonts w:ascii="Calibri" w:hAnsi="Calibri"/>
      <w:b/>
      <w:color w:val="12355B"/>
      <w:sz w:val="48"/>
    </w:rPr>
  </w:style>
  <w:style w:type="paragraph" w:customStyle="1" w:styleId="TASubtitle">
    <w:name w:val="TA Subtitle"/>
    <w:basedOn w:val="Subtitle"/>
    <w:rPr>
      <w:rFonts w:ascii="Calibri" w:hAnsi="Calibri"/>
      <w:b w:val="0"/>
      <w:color w:val="6B7280"/>
      <w:sz w:val="24"/>
    </w:rPr>
  </w:style>
  <w:style w:type="paragraph" w:customStyle="1" w:styleId="TAHeading1">
    <w:name w:val="TA Heading 1"/>
    <w:basedOn w:val="Heading1"/>
    <w:rPr>
      <w:rFonts w:ascii="Calibri" w:hAnsi="Calibri"/>
      <w:b/>
      <w:color w:val="12355B"/>
      <w:sz w:val="32"/>
    </w:rPr>
  </w:style>
  <w:style w:type="paragraph" w:customStyle="1" w:styleId="TAHeading2">
    <w:name w:val="TA Heading 2"/>
    <w:basedOn w:val="Heading2"/>
    <w:rPr>
      <w:rFonts w:ascii="Calibri" w:hAnsi="Calibri"/>
      <w:b/>
      <w:color w:val="12355B"/>
      <w:sz w:val="26"/>
    </w:rPr>
  </w:style>
  <w:style w:type="paragraph" w:customStyle="1" w:styleId="TAHeading3">
    <w:name w:val="TA Heading 3"/>
    <w:basedOn w:val="Heading3"/>
    <w:rPr>
      <w:rFonts w:ascii="Calibri" w:hAnsi="Calibri"/>
      <w:b/>
      <w:color w:val="C95B25"/>
      <w:sz w:val="24"/>
    </w:rPr>
  </w:style>
  <w:style w:type="paragraph" w:customStyle="1" w:styleId="TASmall">
    <w:name w:val="TA Small"/>
    <w:basedOn w:val="Normal"/>
    <w:rPr>
      <w:rFonts w:ascii="Calibri" w:hAnsi="Calibri"/>
      <w:b w:val="0"/>
      <w:color w:val="6B728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