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1F1F1F"/>
          <w:sz w:val="32"/>
        </w:rPr>
        <w:t>3.1.1 DC and DR Infrastructure Sizing / IP Address Requirements</w:t>
      </w:r>
    </w:p>
    <w:p>
      <w:pPr>
        <w:spacing w:after="200"/>
      </w:pPr>
      <w:r>
        <w:t>The following section provides the proposed Data Centre (DC) and Disaster Recovery (DR) infrastructure details for the Kuwait deployment, including server roles, IP address requirements, management interfaces, private cluster communication, storage partitions, RAID configuration, and NAS replication requirements.</w:t>
      </w:r>
    </w:p>
    <w:p>
      <w:pPr>
        <w:spacing w:after="60"/>
      </w:pPr>
      <w:r>
        <w:rPr>
          <w:b/>
          <w:sz w:val="22"/>
        </w:rPr>
        <w:t>DC Environment</w:t>
      </w:r>
    </w:p>
    <w:p>
      <w:pPr>
        <w:pStyle w:val="ListBullet"/>
        <w:spacing w:after="0"/>
        <w:ind w:left="288"/>
      </w:pPr>
      <w:r>
        <w:rPr>
          <w:sz w:val="20"/>
        </w:rPr>
        <w:t>OS LAN IP requirements</w:t>
      </w:r>
    </w:p>
    <w:p>
      <w:pPr>
        <w:pStyle w:val="ListBullet"/>
        <w:spacing w:after="0"/>
        <w:ind w:left="288"/>
      </w:pPr>
      <w:r>
        <w:rPr>
          <w:sz w:val="20"/>
        </w:rPr>
        <w:t>iDRAC / management IP requirements</w:t>
      </w:r>
    </w:p>
    <w:p>
      <w:pPr>
        <w:pStyle w:val="ListBullet"/>
        <w:spacing w:after="0"/>
        <w:ind w:left="288"/>
      </w:pPr>
      <w:r>
        <w:rPr>
          <w:sz w:val="20"/>
        </w:rPr>
        <w:t>Cluster IPs</w:t>
      </w:r>
    </w:p>
    <w:p>
      <w:pPr>
        <w:pStyle w:val="ListBullet"/>
        <w:spacing w:after="0"/>
        <w:ind w:left="288"/>
      </w:pPr>
      <w:r>
        <w:rPr>
          <w:sz w:val="20"/>
        </w:rPr>
        <w:t>Server/NAS table</w:t>
      </w:r>
    </w:p>
    <w:p>
      <w:pPr>
        <w:pStyle w:val="ListBullet"/>
        <w:spacing w:after="0"/>
        <w:ind w:left="288"/>
      </w:pPr>
      <w:r>
        <w:rPr>
          <w:sz w:val="20"/>
        </w:rPr>
        <w:t>SyncIQ replication note</w:t>
      </w:r>
    </w:p>
    <w:p/>
    <w:p>
      <w:pPr>
        <w:spacing w:after="60"/>
      </w:pPr>
      <w:r>
        <w:rPr>
          <w:b/>
          <w:sz w:val="22"/>
        </w:rPr>
        <w:t>DR Environment</w:t>
      </w:r>
    </w:p>
    <w:p>
      <w:pPr>
        <w:pStyle w:val="ListBullet"/>
        <w:spacing w:after="0"/>
        <w:ind w:left="288"/>
      </w:pPr>
      <w:r>
        <w:rPr>
          <w:sz w:val="20"/>
        </w:rPr>
        <w:t>OS LAN IP requirements</w:t>
      </w:r>
    </w:p>
    <w:p>
      <w:pPr>
        <w:pStyle w:val="ListBullet"/>
        <w:spacing w:after="0"/>
        <w:ind w:left="288"/>
      </w:pPr>
      <w:r>
        <w:rPr>
          <w:sz w:val="20"/>
        </w:rPr>
        <w:t>iDRAC / management IP requirements</w:t>
      </w:r>
    </w:p>
    <w:p>
      <w:pPr>
        <w:pStyle w:val="ListBullet"/>
        <w:spacing w:after="0"/>
        <w:ind w:left="288"/>
      </w:pPr>
      <w:r>
        <w:rPr>
          <w:sz w:val="20"/>
        </w:rPr>
        <w:t>Cluster IPs</w:t>
      </w:r>
    </w:p>
    <w:p>
      <w:pPr>
        <w:pStyle w:val="ListBullet"/>
        <w:spacing w:after="0"/>
        <w:ind w:left="288"/>
      </w:pPr>
      <w:r>
        <w:rPr>
          <w:sz w:val="20"/>
        </w:rPr>
        <w:t>Server/NAS table</w:t>
      </w:r>
    </w:p>
    <w:p>
      <w:pPr>
        <w:pStyle w:val="ListBullet"/>
        <w:spacing w:after="0"/>
        <w:ind w:left="288"/>
      </w:pPr>
      <w:r>
        <w:rPr>
          <w:sz w:val="20"/>
        </w:rPr>
        <w:t>SyncIQ replication note</w:t>
      </w:r>
    </w:p>
    <w:p/>
    <w:tbl>
      <w:tblPr>
        <w:tblStyle w:val="TableGrid"/>
        <w:tblW w:type="auto" w:w="0"/>
        <w:tblLayout w:type="autofit"/>
        <w:tblLook w:firstColumn="1" w:firstRow="1" w:lastColumn="0" w:lastRow="0" w:noHBand="0" w:noVBand="1" w:val="04A0"/>
      </w:tblPr>
      <w:tblGrid>
        <w:gridCol w:w="15106"/>
      </w:tblGrid>
      <w:tr>
        <w:tc>
          <w:tcPr>
            <w:tcW w:type="dxa" w:w="15106"/>
            <w:shd w:fill="D87A2A"/>
          </w:tcPr>
          <w:p>
            <w:pPr>
              <w:jc w:val="center"/>
            </w:pPr>
            <w:r>
              <w:rPr>
                <w:rFonts w:ascii="Arial" w:hAnsi="Arial"/>
                <w:b/>
                <w:color w:val="FFFFFF"/>
                <w:sz w:val="20"/>
              </w:rPr>
              <w:t>Replication Note</w:t>
            </w:r>
          </w:p>
        </w:tc>
      </w:tr>
      <w:tr>
        <w:tc>
          <w:tcPr>
            <w:tcW w:type="dxa" w:w="15106"/>
          </w:tcPr>
          <w:p>
            <w:pPr>
              <w:spacing w:before="80" w:after="80"/>
            </w:pPr>
            <w:r>
              <w:rPr>
                <w:rFonts w:ascii="Arial" w:hAnsi="Arial"/>
                <w:sz w:val="20"/>
              </w:rPr>
              <w:t>SyncIQ replication should be enabled between the DC and DR NAS platforms to support resilient data replication across both sites.</w:t>
            </w:r>
          </w:p>
        </w:tc>
      </w:tr>
    </w:tbl>
    <w:p>
      <w:r>
        <w:br w:type="page"/>
      </w:r>
    </w:p>
    <w:p>
      <w:pPr>
        <w:spacing w:before="0" w:after="160"/>
      </w:pPr>
      <w:r>
        <w:rPr>
          <w:rFonts w:ascii="Arial" w:hAnsi="Arial"/>
          <w:b/>
          <w:color w:val="1F1F1F"/>
          <w:sz w:val="26"/>
        </w:rPr>
        <w:t>Kuwait Network Diagram</w:t>
      </w:r>
    </w:p>
    <w:p>
      <w:pPr>
        <w:jc w:val="center"/>
      </w:pPr>
      <w:r>
        <w:drawing>
          <wp:inline xmlns:a="http://schemas.openxmlformats.org/drawingml/2006/main" xmlns:pic="http://schemas.openxmlformats.org/drawingml/2006/picture">
            <wp:extent cx="8869680" cy="7996680"/>
            <wp:docPr id="1" name="Picture 1"/>
            <wp:cNvGraphicFramePr>
              <a:graphicFrameLocks noChangeAspect="1"/>
            </wp:cNvGraphicFramePr>
            <a:graphic>
              <a:graphicData uri="http://schemas.openxmlformats.org/drawingml/2006/picture">
                <pic:pic>
                  <pic:nvPicPr>
                    <pic:cNvPr id="0" name="kuwait-network-diagram-crop.png"/>
                    <pic:cNvPicPr/>
                  </pic:nvPicPr>
                  <pic:blipFill>
                    <a:blip r:embed="rId9"/>
                    <a:stretch>
                      <a:fillRect/>
                    </a:stretch>
                  </pic:blipFill>
                  <pic:spPr>
                    <a:xfrm>
                      <a:off x="0" y="0"/>
                      <a:ext cx="8869680" cy="7996680"/>
                    </a:xfrm>
                    <a:prstGeom prst="rect"/>
                  </pic:spPr>
                </pic:pic>
              </a:graphicData>
            </a:graphic>
          </wp:inline>
        </w:drawing>
      </w:r>
    </w:p>
    <w:p>
      <w:pPr>
        <w:spacing w:before="120" w:after="0"/>
        <w:jc w:val="center"/>
      </w:pPr>
      <w:r>
        <w:rPr>
          <w:rFonts w:ascii="Arial" w:hAnsi="Arial"/>
          <w:i/>
          <w:sz w:val="18"/>
        </w:rPr>
        <w:t>Figure 1. Kuwait DC/DR network architecture overview.</w:t>
      </w:r>
    </w:p>
    <w:p>
      <w:r>
        <w:br w:type="page"/>
      </w:r>
    </w:p>
    <w:p>
      <w:pPr>
        <w:spacing w:before="0" w:after="160"/>
      </w:pPr>
      <w:r>
        <w:rPr>
          <w:rFonts w:ascii="Arial" w:hAnsi="Arial"/>
          <w:b/>
          <w:color w:val="1F1F1F"/>
          <w:sz w:val="26"/>
        </w:rPr>
        <w:t>Kuwait Infinity Server Configuration</w:t>
      </w:r>
    </w:p>
    <w:p>
      <w:pPr>
        <w:jc w:val="center"/>
      </w:pPr>
      <w:r>
        <w:drawing>
          <wp:inline xmlns:a="http://schemas.openxmlformats.org/drawingml/2006/main" xmlns:pic="http://schemas.openxmlformats.org/drawingml/2006/picture">
            <wp:extent cx="8869680" cy="3375188"/>
            <wp:docPr id="2" name="Picture 2"/>
            <wp:cNvGraphicFramePr>
              <a:graphicFrameLocks noChangeAspect="1"/>
            </wp:cNvGraphicFramePr>
            <a:graphic>
              <a:graphicData uri="http://schemas.openxmlformats.org/drawingml/2006/picture">
                <pic:pic>
                  <pic:nvPicPr>
                    <pic:cNvPr id="0" name="kuwait-infinity-config-crop.png"/>
                    <pic:cNvPicPr/>
                  </pic:nvPicPr>
                  <pic:blipFill>
                    <a:blip r:embed="rId10"/>
                    <a:stretch>
                      <a:fillRect/>
                    </a:stretch>
                  </pic:blipFill>
                  <pic:spPr>
                    <a:xfrm>
                      <a:off x="0" y="0"/>
                      <a:ext cx="8869680" cy="3375188"/>
                    </a:xfrm>
                    <a:prstGeom prst="rect"/>
                  </pic:spPr>
                </pic:pic>
              </a:graphicData>
            </a:graphic>
          </wp:inline>
        </w:drawing>
      </w:r>
    </w:p>
    <w:p>
      <w:pPr>
        <w:spacing w:before="120" w:after="0"/>
        <w:jc w:val="center"/>
      </w:pPr>
      <w:r>
        <w:rPr>
          <w:rFonts w:ascii="Arial" w:hAnsi="Arial"/>
          <w:i/>
          <w:sz w:val="18"/>
        </w:rPr>
        <w:t>Figure 2. DC and DR server / NAS configuration capture.</w:t>
      </w:r>
    </w:p>
    <w:sectPr w:rsidR="00FC693F" w:rsidRPr="0006063C"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