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b/>
          <w:bCs/>
          <w:color w:val="D66724"/>
          <w:sz w:val="20"/>
          <w:szCs w:val="20"/>
        </w:rPr>
        <w:t xml:space="preserve">MINI-CATALOGUE CIBLÉ</w:t>
      </w:r>
    </w:p>
    <w:p>
      <w:pPr>
        <w:spacing w:after="80"/>
      </w:pPr>
      <w:r>
        <w:rPr>
          <w:b/>
          <w:bCs/>
          <w:color w:val="10263F"/>
          <w:sz w:val="36"/>
          <w:szCs w:val="36"/>
        </w:rPr>
        <w:t xml:space="preserve">Proposition ciblée de formation et d'accompagnement IA pour Attijari CI</w:t>
      </w:r>
    </w:p>
    <w:p>
      <w:pPr>
        <w:spacing w:after="300"/>
      </w:pPr>
      <w:r>
        <w:rPr>
          <w:i/>
          <w:iCs/>
          <w:color w:val="516072"/>
          <w:sz w:val="22"/>
          <w:szCs w:val="22"/>
        </w:rPr>
        <w:t xml:space="preserve">Audit interne, conformité et performance bancaire — Attijariwafa Bank Côte d'Ivoire</w:t>
      </w:r>
    </w:p>
    <w:p>
      <w:pPr>
        <w:pStyle w:val="Heading1"/>
      </w:pPr>
      <w:r>
        <w:t xml:space="preserve">1. Synthèse exécutive</w:t>
      </w:r>
    </w:p>
    <w:p>
      <w:pPr>
        <w:spacing w:after="120"/>
      </w:pPr>
      <w:r>
        <w:t xml:space="preserve">Attijari CI cherche à renforcer la maîtrise du risque, la qualité du reporting et la fluidité de la relation client, dans un environnement réglementaire dense et mouvant. TransferAI Africa propose une démarche de service : un audit pour qualifier les priorités, une formation ciblée des dirigeants et des équipes, puis un accompagnement de mise en pratique sur 90 jours.</w:t>
      </w:r>
    </w:p>
    <w:p>
      <w:pPr>
        <w:spacing w:after="120"/>
      </w:pPr>
      <w:r>
        <w:t xml:space="preserve">Contrairement à une formation ponctuelle qui transmet un contenu et s'arrête là, TransferAI reste engagé après la salle de formation : relecture des premiers usages, ajustement des outils, gouvernance et décision d'extension.</w:t>
      </w:r>
    </w:p>
    <w:p>
      <w:pPr>
        <w:pStyle w:val="Heading1"/>
      </w:pPr>
      <w:r>
        <w:t xml:space="preserve">2. Lecture du contexte du prospect</w:t>
      </w:r>
    </w:p>
    <w:p>
      <w:pPr>
        <w:spacing w:after="120"/>
      </w:pPr>
      <w:r>
        <w:t xml:space="preserve">Attijari CI est la filiale ivoirienne du groupe Attijariwafa Bank, opérant sous le périmètre « Attijari West Africa ». Comme tout établissement bancaire régional, elle est exposée à une veille réglementaire continue et exigeante : BCEAO, GIABA, FATF/GAFI, COBAC, CREPMF/BRVM, Journal Officiel de Côte d'Ivoire et Ministère de l'Économie.</w:t>
      </w:r>
    </w:p>
    <w:p>
      <w:pPr>
        <w:spacing w:after="120"/>
      </w:pPr>
      <w:r>
        <w:t xml:space="preserve">Les fonctions les plus concernées par une meilleure exploitation de l'IA sont, à ce stade et sous réserve de confirmation lors de l'audit : l'Audit Interne, la Conformité/LCB-FT, la Finance et le Reporting, ainsi que la Relation Client bancaire.</w:t>
      </w:r>
    </w:p>
    <w:p>
      <w:pPr>
        <w:spacing w:after="120"/>
      </w:pPr>
      <w:r>
        <w:t xml:space="preserve">Le sujet mérite d'être traité maintenant parce que le volume et la fréquence des textes réglementaires rendent la veille manuelle de plus en plus coûteuse en temps d'expert, avec un risque de suivi tardif d'un texte à fort impact.</w:t>
      </w:r>
    </w:p>
    <w:p>
      <w:pPr>
        <w:pStyle w:val="Heading1"/>
      </w:pPr>
      <w:r>
        <w:t xml:space="preserve">3. Priorités métier et irritants visibles</w:t>
      </w:r>
    </w:p>
    <w:p>
      <w:pPr>
        <w:pStyle w:val="ListParagraph"/>
        <w:numPr>
          <w:ilvl w:val="0"/>
          <w:numId w:val="2"/>
        </w:numPr>
        <w:spacing w:after="60"/>
      </w:pPr>
      <w:r>
        <w:t xml:space="preserve">Veille réglementaire dispersée sur une dizaine de sources (BCEAO, GIABA, FATF/GAFI, COBAC, CREPMF/BRVM, JO CI), avec un risque de suivi tardif d'un texte à fort impact.</w:t>
      </w:r>
    </w:p>
    <w:p>
      <w:pPr>
        <w:pStyle w:val="ListParagraph"/>
        <w:numPr>
          <w:ilvl w:val="0"/>
          <w:numId w:val="2"/>
        </w:numPr>
        <w:spacing w:after="60"/>
      </w:pPr>
      <w:r>
        <w:t xml:space="preserve">Reporting encore lourd : les équipes consacrent beaucoup de temps à commenter, reformater et consolider les mêmes chiffres pour les comités.</w:t>
      </w:r>
    </w:p>
    <w:p>
      <w:pPr>
        <w:pStyle w:val="ListParagraph"/>
        <w:numPr>
          <w:ilvl w:val="0"/>
          <w:numId w:val="2"/>
        </w:numPr>
        <w:spacing w:after="60"/>
      </w:pPr>
      <w:r>
        <w:t xml:space="preserve">Contrôles et KYC dispersés : les revues d'écarts, d'anomalies et de conformité mobilisent beaucoup d'efforts manuels.</w:t>
      </w:r>
    </w:p>
    <w:p>
      <w:pPr>
        <w:pStyle w:val="ListParagraph"/>
        <w:numPr>
          <w:ilvl w:val="0"/>
          <w:numId w:val="2"/>
        </w:numPr>
        <w:spacing w:after="60"/>
      </w:pPr>
      <w:r>
        <w:t xml:space="preserve">Relation client à harmoniser : les réponses sur produits, pièces et délais varient selon les canaux et les équipes.</w:t>
      </w:r>
    </w:p>
    <w:p>
      <w:pPr>
        <w:pStyle w:val="ListParagraph"/>
        <w:numPr>
          <w:ilvl w:val="0"/>
          <w:numId w:val="2"/>
        </w:numPr>
        <w:spacing w:after="60"/>
      </w:pPr>
      <w:r>
        <w:t xml:space="preserve">Décisions de comité parfois trop brutes ou trop tardives faute de notes synthétiques et commentées.</w:t>
      </w:r>
    </w:p>
    <w:p>
      <w:pPr>
        <w:pStyle w:val="Heading1"/>
      </w:pPr>
      <w:r>
        <w:t xml:space="preserve">4. Cas d'usage et quick wins recommandés</w:t>
      </w:r>
    </w:p>
    <w:p>
      <w:pPr>
        <w:spacing w:after="120"/>
      </w:pPr>
      <w:r>
        <w:t xml:space="preserve">Ces cas d'usage restent des hypothèses de travail à confirmer et prioriser lors de l'audit. Le premier, la veille réglementaire, s'appuie sur un prototype déjà conçu par TransferAI que nous pouvons présenter en fonctionnement.</w:t>
      </w:r>
    </w:p>
    <w:p>
      <w:pPr>
        <w:spacing w:after="60" w:before="160"/>
      </w:pPr>
      <w:r>
        <w:rPr>
          <w:b/>
          <w:bCs/>
          <w:color w:val="10263F"/>
          <w:sz w:val="22"/>
          <w:szCs w:val="22"/>
        </w:rPr>
        <w:t xml:space="preserve">Veille réglementaire et audit interne augmentés (cas d'usage phare)</w:t>
      </w:r>
    </w:p>
    <w:p>
      <w:pPr>
        <w:spacing w:after="40"/>
      </w:pPr>
      <w:r>
        <w:rPr>
          <w:b/>
          <w:bCs/>
          <w:color w:val="8A5A00"/>
        </w:rPr>
        <w:t xml:space="preserve">Avant : </w:t>
      </w:r>
      <w:r>
        <w:t xml:space="preserve">Le suivi des textes BCEAO, GIABA, FATF/GAFI, COBAC et CREPMF se fait manuellement, source par source, avec un risque de retard sur un texte critique.</w:t>
      </w:r>
    </w:p>
    <w:p>
      <w:pPr>
        <w:spacing w:after="40"/>
      </w:pPr>
      <w:r>
        <w:rPr>
          <w:b/>
          <w:bCs/>
          <w:color w:val="2FB67E"/>
        </w:rPr>
        <w:t xml:space="preserve">Après : </w:t>
      </w:r>
      <w:r>
        <w:t xml:space="preserve">Un digest exécutif quotidien priorise les textes par urgence et par thème (LCB-FT, prudentiel, KYC, audit), avec un résumé et des actions recommandées pour la Direction de l'Audit Interne.</w:t>
      </w:r>
    </w:p>
    <w:p>
      <w:pPr>
        <w:spacing w:after="120"/>
      </w:pPr>
      <w:r>
        <w:rPr>
          <w:b/>
          <w:bCs/>
          <w:color w:val="516072"/>
        </w:rPr>
        <w:t xml:space="preserve">KPI à suivre : </w:t>
      </w:r>
      <w:r>
        <w:rPr>
          <w:i/>
          <w:iCs/>
        </w:rPr>
        <w:t xml:space="preserve">Délai de détection d'un texte critique ; temps de veille hebdomadaire ; taux de textes traités avant échéance</w:t>
      </w:r>
    </w:p>
    <w:p>
      <w:pPr>
        <w:spacing w:after="60" w:before="160"/>
      </w:pPr>
      <w:r>
        <w:rPr>
          <w:b/>
          <w:bCs/>
          <w:color w:val="10263F"/>
          <w:sz w:val="22"/>
          <w:szCs w:val="22"/>
        </w:rPr>
        <w:t xml:space="preserve">Conformité, KYC et vigilance LCB-FT</w:t>
      </w:r>
    </w:p>
    <w:p>
      <w:pPr>
        <w:spacing w:after="40"/>
      </w:pPr>
      <w:r>
        <w:rPr>
          <w:b/>
          <w:bCs/>
          <w:color w:val="8A5A00"/>
        </w:rPr>
        <w:t xml:space="preserve">Avant : </w:t>
      </w:r>
      <w:r>
        <w:t xml:space="preserve">Les contrôles documentaires et signalements restent chronophages et répartis entre plusieurs personnes.</w:t>
      </w:r>
    </w:p>
    <w:p>
      <w:pPr>
        <w:spacing w:after="40"/>
      </w:pPr>
      <w:r>
        <w:rPr>
          <w:b/>
          <w:bCs/>
          <w:color w:val="2FB67E"/>
        </w:rPr>
        <w:t xml:space="preserve">Après : </w:t>
      </w:r>
      <w:r>
        <w:t xml:space="preserve">Les équipes repèrent plus vite les écarts, pièces manquantes et points sensibles grâce à une première lecture assistée.</w:t>
      </w:r>
    </w:p>
    <w:p>
      <w:pPr>
        <w:spacing w:after="120"/>
      </w:pPr>
      <w:r>
        <w:rPr>
          <w:b/>
          <w:bCs/>
          <w:color w:val="516072"/>
        </w:rPr>
        <w:t xml:space="preserve">KPI à suivre : </w:t>
      </w:r>
      <w:r>
        <w:rPr>
          <w:i/>
          <w:iCs/>
        </w:rPr>
        <w:t xml:space="preserve">Temps de revue par dossier ; nombre d'anomalies détectées tôt</w:t>
      </w:r>
    </w:p>
    <w:p>
      <w:pPr>
        <w:spacing w:after="60" w:before="160"/>
      </w:pPr>
      <w:r>
        <w:rPr>
          <w:b/>
          <w:bCs/>
          <w:color w:val="10263F"/>
          <w:sz w:val="22"/>
          <w:szCs w:val="22"/>
        </w:rPr>
        <w:t xml:space="preserve">Reporting financier et notes de comité</w:t>
      </w:r>
    </w:p>
    <w:p>
      <w:pPr>
        <w:spacing w:after="40"/>
      </w:pPr>
      <w:r>
        <w:rPr>
          <w:b/>
          <w:bCs/>
          <w:color w:val="8A5A00"/>
        </w:rPr>
        <w:t xml:space="preserve">Avant : </w:t>
      </w:r>
      <w:r>
        <w:t xml:space="preserve">Les tableaux existent mais prennent du temps à expliquer, reformuler et consolider avant chaque comité.</w:t>
      </w:r>
    </w:p>
    <w:p>
      <w:pPr>
        <w:spacing w:after="40"/>
      </w:pPr>
      <w:r>
        <w:rPr>
          <w:b/>
          <w:bCs/>
          <w:color w:val="2FB67E"/>
        </w:rPr>
        <w:t xml:space="preserve">Après : </w:t>
      </w:r>
      <w:r>
        <w:t xml:space="preserve">Les synthèses et commentaires de performance se préparent plus vite, avec une meilleure lisibilité managériale.</w:t>
      </w:r>
    </w:p>
    <w:p>
      <w:pPr>
        <w:spacing w:after="120"/>
      </w:pPr>
      <w:r>
        <w:rPr>
          <w:b/>
          <w:bCs/>
          <w:color w:val="516072"/>
        </w:rPr>
        <w:t xml:space="preserve">KPI à suivre : </w:t>
      </w:r>
      <w:r>
        <w:rPr>
          <w:i/>
          <w:iCs/>
        </w:rPr>
        <w:t xml:space="preserve">Temps de production ; délai avant diffusion au comité</w:t>
      </w:r>
    </w:p>
    <w:p>
      <w:pPr>
        <w:spacing w:after="60" w:before="160"/>
      </w:pPr>
      <w:r>
        <w:rPr>
          <w:b/>
          <w:bCs/>
          <w:color w:val="10263F"/>
          <w:sz w:val="22"/>
          <w:szCs w:val="22"/>
        </w:rPr>
        <w:t xml:space="preserve">Relation client bancaire augmentée</w:t>
      </w:r>
    </w:p>
    <w:p>
      <w:pPr>
        <w:spacing w:after="40"/>
      </w:pPr>
      <w:r>
        <w:rPr>
          <w:b/>
          <w:bCs/>
          <w:color w:val="8A5A00"/>
        </w:rPr>
        <w:t xml:space="preserve">Avant : </w:t>
      </w:r>
      <w:r>
        <w:t xml:space="preserve">Les demandes récurrentes sur produits, pièces et délais saturent les équipes et créent des réponses hétérogènes selon les canaux.</w:t>
      </w:r>
    </w:p>
    <w:p>
      <w:pPr>
        <w:spacing w:after="40"/>
      </w:pPr>
      <w:r>
        <w:rPr>
          <w:b/>
          <w:bCs/>
          <w:color w:val="2FB67E"/>
        </w:rPr>
        <w:t xml:space="preserve">Après : </w:t>
      </w:r>
      <w:r>
        <w:t xml:space="preserve">Les conseillers gagnent un assistant de réponse encadré pour les cas récurrents, avec une base homogène.</w:t>
      </w:r>
    </w:p>
    <w:p>
      <w:pPr>
        <w:spacing w:after="120"/>
      </w:pPr>
      <w:r>
        <w:rPr>
          <w:b/>
          <w:bCs/>
          <w:color w:val="516072"/>
        </w:rPr>
        <w:t xml:space="preserve">KPI à suivre : </w:t>
      </w:r>
      <w:r>
        <w:rPr>
          <w:i/>
          <w:iCs/>
        </w:rPr>
        <w:t xml:space="preserve">Temps moyen de réponse ; taux de résolution au premier niveau</w:t>
      </w:r>
    </w:p>
    <w:p>
      <w:pPr>
        <w:pStyle w:val="Heading1"/>
      </w:pPr>
      <w:r>
        <w:t xml:space="preserve">5. Porte d'entrée recommandée</w:t>
      </w:r>
    </w:p>
    <w:p>
      <w:pPr>
        <w:spacing w:after="120"/>
      </w:pPr>
      <w:r>
        <w:t xml:space="preserve">Un audit IA gratuit, ciblé sur l'Audit Interne, la Conformité et le Reporting, suivi d'un échange expert de 45 minutes. Cet échange inclut une démonstration du prototype de veille réglementaire déjà construit par TransferAI, pour rendre la démarche immédiatement concrète.</w:t>
      </w:r>
    </w:p>
    <w:p>
      <w:pPr>
        <w:pStyle w:val="Heading1"/>
      </w:pPr>
      <w:r>
        <w:t xml:space="preserve">6. Parcours recommandé</w:t>
      </w:r>
    </w:p>
    <w:p>
      <w:pPr>
        <w:spacing w:after="60"/>
      </w:pPr>
      <w:r>
        <w:rPr>
          <w:b/>
          <w:bCs/>
        </w:rPr>
        <w:t xml:space="preserve">J+0 — Audit, cadrage et priorisation : </w:t>
      </w:r>
      <w:r>
        <w:t xml:space="preserve">identifier les flux à plus forte valeur (audit interne, conformité, reporting), les risques à encadrer et les équipes à mobiliser. Démonstration du prototype de veille réglementaire.</w:t>
      </w:r>
    </w:p>
    <w:p>
      <w:pPr>
        <w:spacing w:after="60"/>
      </w:pPr>
      <w:r>
        <w:rPr>
          <w:b/>
          <w:bCs/>
        </w:rPr>
        <w:t xml:space="preserve">J+15 — Premier livrable utile : </w:t>
      </w:r>
      <w:r>
        <w:t xml:space="preserve">calibrer le prototype de veille réglementaire sur les sources et le vocabulaire prioritaires d'Attijari CI, ou produire un premier kit de travail sur un autre flux prioritaire.</w:t>
      </w:r>
    </w:p>
    <w:p>
      <w:pPr>
        <w:spacing w:after="60"/>
      </w:pPr>
      <w:r>
        <w:rPr>
          <w:b/>
          <w:bCs/>
        </w:rPr>
        <w:t xml:space="preserve">J+45 — Formation ciblée et pilote : </w:t>
      </w:r>
      <w:r>
        <w:t xml:space="preserve">former les populations retenues et lancer le premier terrain d'exécution en conditions réelles, avec supervision humaine.</w:t>
      </w:r>
    </w:p>
    <w:p>
      <w:pPr>
        <w:spacing w:after="200"/>
      </w:pPr>
      <w:r>
        <w:rPr>
          <w:b/>
          <w:bCs/>
        </w:rPr>
        <w:t xml:space="preserve">J+90 — Mesure, gouvernance et extension : </w:t>
      </w:r>
      <w:r>
        <w:t xml:space="preserve">relire les premiers KPI, ajuster les usages et décider de l'extension, du recentrage ou de la montée en charge.</w:t>
      </w:r>
    </w:p>
    <w:p>
      <w:pPr>
        <w:pStyle w:val="Heading1"/>
      </w:pPr>
      <w:r>
        <w:t xml:space="preserve">7. Formations prioritaires</w:t>
      </w:r>
    </w:p>
    <w:p>
      <w:pPr>
        <w:spacing w:after="120"/>
      </w:pPr>
      <w:r>
        <w:t xml:space="preserve">Sélection resserrée à six formations, regroupées en trois familles métier, plutôt qu'un catalogue générique.</w:t>
      </w:r>
    </w:p>
    <w:p>
      <w:pPr>
        <w:spacing w:after="40"/>
      </w:pPr>
      <w:r>
        <w:rPr>
          <w:b/>
          <w:bCs/>
          <w:color w:val="D66724"/>
          <w:sz w:val="18"/>
          <w:szCs w:val="18"/>
        </w:rPr>
        <w:t xml:space="preserve">FAMILLE — AUDIT, CONFORMITÉ ET GOUVERNANCE</w:t>
      </w:r>
    </w:p>
    <w:p>
      <w:pPr>
        <w:spacing w:after="80" w:before="200"/>
      </w:pPr>
      <w:r>
        <w:rPr>
          <w:b/>
          <w:bCs/>
          <w:color w:val="10263F"/>
          <w:sz w:val="22"/>
          <w:szCs w:val="22"/>
        </w:rPr>
        <w:t xml:space="preserve">Audit Interne Augmenté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de l'Audit Interne, chargés de mission, contrôleurs internes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Comprendre les usages utiles de l'IA en audit interne ; exploiter le prototype de veille réglementaire ; produire des synthèses et recommandations exploitables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 référentiel de contrôle interne et les processus audités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synthèse réglementaire ; checklists de qualification d'un texte ; premiers cas appliqués au périmètre Attijari</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S'appuie directement sur le prototype déjà conçu et sur les priorités réelles de la Direction de l'Audit Interne.</w:t>
            </w:r>
          </w:p>
        </w:tc>
      </w:tr>
    </w:tbl>
    <w:p/>
    <w:p>
      <w:pPr>
        <w:spacing w:after="80" w:before="200"/>
      </w:pPr>
      <w:r>
        <w:rPr>
          <w:b/>
          <w:bCs/>
          <w:color w:val="10263F"/>
          <w:sz w:val="22"/>
          <w:szCs w:val="22"/>
        </w:rPr>
        <w:t xml:space="preserve">Conformité Anti-Blanchiment et IA (LCB-FT)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Conformité, KYC, correspondants LCB-FT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revue documentaire et la détection des écarts ; structurer un premier assistant de vigilance encadré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les procédures KYC/LCB-FT en vigueur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Checklists de vigilance ; prompts de revue documentaire ; mini-feuille de route de déploiement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directement à l'irritant « contrôles et KYC dispersés » identifié plus haut.</w:t>
            </w:r>
          </w:p>
        </w:tc>
      </w:tr>
    </w:tbl>
    <w:p/>
    <w:p>
      <w:pPr>
        <w:spacing w:after="40"/>
      </w:pPr>
      <w:r>
        <w:rPr>
          <w:b/>
          <w:bCs/>
          <w:color w:val="D66724"/>
          <w:sz w:val="18"/>
          <w:szCs w:val="18"/>
        </w:rPr>
        <w:t xml:space="preserve">FAMILLE — FINANCE ET PILOTAGE</w:t>
      </w:r>
    </w:p>
    <w:p>
      <w:pPr>
        <w:spacing w:after="80" w:before="200"/>
      </w:pPr>
      <w:r>
        <w:rPr>
          <w:b/>
          <w:bCs/>
          <w:color w:val="10263F"/>
          <w:sz w:val="22"/>
          <w:szCs w:val="22"/>
        </w:rPr>
        <w:t xml:space="preserve">Reporting Financier Automatisé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Finance, contrôle de gestion, secrétariat des comités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préparation des synthèses et notes de comité ; harmoniser le niveau de commentaire managérial</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Disposer d'exemples de reporting existants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Trames de commentaire automatisées ; modèles de notes de comité ; checklist de consolidation</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Réduit directement le temps de production et le délai avant diffusion identifiés dans les irritants.</w:t>
            </w:r>
          </w:p>
        </w:tc>
      </w:tr>
    </w:tbl>
    <w:p/>
    <w:p>
      <w:pPr>
        <w:spacing w:after="80" w:before="200"/>
      </w:pPr>
      <w:r>
        <w:rPr>
          <w:b/>
          <w:bCs/>
          <w:color w:val="10263F"/>
          <w:sz w:val="22"/>
          <w:szCs w:val="22"/>
        </w:rPr>
        <w:t xml:space="preserve">Analyse de Contrats avec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Juridique, engagements, comité crédit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Accélérer la lecture des dossiers avant arbitrage humain ; faire ressortir les points sensibles d'un contrat ou d'un dossier crédit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 processus d'instruction des dossiers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Prompts de synthèse contractuelle ; grille de points de vigilance ; exemples appliqués au métier</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Accélère la préparation des dossiers avant le comité crédit.</w:t>
            </w:r>
          </w:p>
        </w:tc>
      </w:tr>
    </w:tbl>
    <w:p/>
    <w:p>
      <w:pPr>
        <w:spacing w:after="40"/>
      </w:pPr>
      <w:r>
        <w:rPr>
          <w:b/>
          <w:bCs/>
          <w:color w:val="D66724"/>
          <w:sz w:val="18"/>
          <w:szCs w:val="18"/>
        </w:rPr>
        <w:t xml:space="preserve">FAMILLE — RELATION CLIENT ET LEADERSHIP</w:t>
      </w:r>
    </w:p>
    <w:p>
      <w:pPr>
        <w:spacing w:after="80" w:before="200"/>
      </w:pPr>
      <w:r>
        <w:rPr>
          <w:b/>
          <w:bCs/>
          <w:color w:val="10263F"/>
          <w:sz w:val="22"/>
          <w:szCs w:val="22"/>
        </w:rPr>
        <w:t xml:space="preserve">Relation Client Augmentée par 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Conseillers clientèle, service client, réseau d'agences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Homogénéiser les réponses sur produits, pièces et délais ; réduire le temps moyen de réponse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Connaître les scripts et procédures de service existants ; aucun prérequis technique avancé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Base de réponses type ; scripts encadrés ; checklist de suivi des réclamations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à confirmer selon le périmètre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Répond à l'irritant « relation client à harmoniser » identifié plus haut.</w:t>
            </w:r>
          </w:p>
        </w:tc>
      </w:tr>
    </w:tbl>
    <w:p/>
    <w:p>
      <w:pPr>
        <w:spacing w:after="80" w:before="200"/>
      </w:pPr>
      <w:r>
        <w:rPr>
          <w:b/>
          <w:bCs/>
          <w:color w:val="10263F"/>
          <w:sz w:val="22"/>
          <w:szCs w:val="22"/>
        </w:rPr>
        <w:t xml:space="preserve">IA pour Dirigeants : Vision et Stratégie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Public concerné</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Direction générale, comité de direction, sponsors de projet</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Objectifs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Donner une lecture claire des usages, limites et conditions de réussite ; aligner la gouvernance et les arbitrages</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Prérequis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Aucun prérequis technique</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Livrables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Grille de lecture des priorités ; cadre de gouvernance proposé ; support de restitution au comité</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Format / durée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45 minutes à 1 demi-journée, à confirmer</w:t>
            </w:r>
          </w:p>
        </w:tc>
      </w:tr>
      <w:tr>
        <w:tc>
          <w:tcPr>
            <w:tcW w:type="dxa" w:w="2400"/>
            <w:tcBorders>
              <w:top w:val="single" w:color="CCCCCC" w:sz="1"/>
              <w:left w:val="single" w:color="CCCCCC" w:sz="1"/>
              <w:bottom w:val="single" w:color="CCCCCC" w:sz="1"/>
              <w:right w:val="single" w:color="CCCCCC" w:sz="1"/>
            </w:tcBorders>
            <w:shd w:fill="F6EEE6" w:val="clear"/>
            <w:tcMar>
              <w:top w:type="dxa" w:w="80"/>
              <w:left w:type="dxa" w:w="120"/>
              <w:bottom w:type="dxa" w:w="80"/>
              <w:right w:type="dxa" w:w="120"/>
            </w:tcMar>
          </w:tcPr>
          <w:p>
            <w:r>
              <w:rPr>
                <w:b/>
                <w:bCs/>
                <w:sz w:val="18"/>
                <w:szCs w:val="18"/>
              </w:rPr>
              <w:t xml:space="preserve">Pourquoi c'est utile pour Attijari CI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Assure l'alignement de la direction avant le déploiement des usages métier.</w:t>
            </w:r>
          </w:p>
        </w:tc>
      </w:tr>
    </w:tbl>
    <w:p/>
    <w:p>
      <w:pPr>
        <w:pStyle w:val="Heading1"/>
      </w:pPr>
      <w:r>
        <w:t xml:space="preserve">8. Livrables attendus</w:t>
      </w:r>
    </w:p>
    <w:p>
      <w:pPr>
        <w:pStyle w:val="ListParagraph"/>
        <w:numPr>
          <w:ilvl w:val="0"/>
          <w:numId w:val="2"/>
        </w:numPr>
        <w:spacing w:after="60"/>
      </w:pPr>
      <w:r>
        <w:t xml:space="preserve">Note de priorités et séquence recommandée.</w:t>
      </w:r>
    </w:p>
    <w:p>
      <w:pPr>
        <w:pStyle w:val="ListParagraph"/>
        <w:numPr>
          <w:ilvl w:val="0"/>
          <w:numId w:val="2"/>
        </w:numPr>
        <w:spacing w:after="60"/>
      </w:pPr>
      <w:r>
        <w:t xml:space="preserve">Prototype de veille réglementaire calibré sur les sources et le vocabulaire d'Attijari CI.</w:t>
      </w:r>
    </w:p>
    <w:p>
      <w:pPr>
        <w:pStyle w:val="ListParagraph"/>
        <w:numPr>
          <w:ilvl w:val="0"/>
          <w:numId w:val="2"/>
        </w:numPr>
        <w:spacing w:after="60"/>
      </w:pPr>
      <w:r>
        <w:t xml:space="preserve">Supports de formation contextualisés aux processus audit, conformité et reporting d'Attijari CI.</w:t>
      </w:r>
    </w:p>
    <w:p>
      <w:pPr>
        <w:pStyle w:val="ListParagraph"/>
        <w:numPr>
          <w:ilvl w:val="0"/>
          <w:numId w:val="2"/>
        </w:numPr>
        <w:spacing w:after="60"/>
      </w:pPr>
      <w:r>
        <w:t xml:space="preserve">Trames, prompts, checklists réutilisables (qualification d'un texte, revue KYC, notes de comité).</w:t>
      </w:r>
    </w:p>
    <w:p>
      <w:pPr>
        <w:pStyle w:val="ListParagraph"/>
        <w:numPr>
          <w:ilvl w:val="0"/>
          <w:numId w:val="2"/>
        </w:numPr>
        <w:spacing w:after="60"/>
      </w:pPr>
      <w:r>
        <w:t xml:space="preserve">Premiers livrables pilotés sur le ou les cas d'usage retenus.</w:t>
      </w:r>
    </w:p>
    <w:p>
      <w:pPr>
        <w:pStyle w:val="ListParagraph"/>
        <w:numPr>
          <w:ilvl w:val="0"/>
          <w:numId w:val="2"/>
        </w:numPr>
        <w:spacing w:after="60"/>
      </w:pPr>
      <w:r>
        <w:t xml:space="preserve">Feuille de route d'exécution sur 90 jours.</w:t>
      </w:r>
    </w:p>
    <w:p>
      <w:pPr>
        <w:pStyle w:val="ListParagraph"/>
        <w:numPr>
          <w:ilvl w:val="0"/>
          <w:numId w:val="2"/>
        </w:numPr>
        <w:spacing w:after="60"/>
      </w:pPr>
      <w:r>
        <w:t xml:space="preserve">Points de revue d'usage et d'adoption.</w:t>
      </w:r>
    </w:p>
    <w:p>
      <w:pPr>
        <w:pStyle w:val="Heading1"/>
      </w:pPr>
      <w:r>
        <w:t xml:space="preserve">9. Gouvernance, confidentialité et conduite du changement</w:t>
      </w:r>
    </w:p>
    <w:p>
      <w:pPr>
        <w:spacing w:after="120"/>
      </w:pPr>
      <w:r>
        <w:t xml:space="preserve">Compte tenu de la nature bancaire et régulée d'Attijari CI, ce volet est non négociable :</w:t>
      </w:r>
    </w:p>
    <w:p>
      <w:pPr>
        <w:pStyle w:val="ListParagraph"/>
        <w:numPr>
          <w:ilvl w:val="0"/>
          <w:numId w:val="2"/>
        </w:numPr>
        <w:spacing w:after="60"/>
      </w:pPr>
      <w:r>
        <w:t xml:space="preserve">Les données bancaires, clients et documents internes restent sous supervision humaine systématique.</w:t>
      </w:r>
    </w:p>
    <w:p>
      <w:pPr>
        <w:pStyle w:val="ListParagraph"/>
        <w:numPr>
          <w:ilvl w:val="0"/>
          <w:numId w:val="2"/>
        </w:numPr>
        <w:spacing w:after="60"/>
      </w:pPr>
      <w:r>
        <w:t xml:space="preserve">Tout signalement réglementaire ou de conformité généré par l'IA fait l'objet d'une revue humaine avant action.</w:t>
      </w:r>
    </w:p>
    <w:p>
      <w:pPr>
        <w:pStyle w:val="ListParagraph"/>
        <w:numPr>
          <w:ilvl w:val="0"/>
          <w:numId w:val="2"/>
        </w:numPr>
        <w:spacing w:after="60"/>
      </w:pPr>
      <w:r>
        <w:t xml:space="preserve">La progression se fait par pilote encadré avant toute extension à d'autres périmètres.</w:t>
      </w:r>
    </w:p>
    <w:p>
      <w:pPr>
        <w:pStyle w:val="ListParagraph"/>
        <w:numPr>
          <w:ilvl w:val="0"/>
          <w:numId w:val="2"/>
        </w:numPr>
        <w:spacing w:after="60"/>
      </w:pPr>
      <w:r>
        <w:t xml:space="preserve">Le cadre d'usage est documenté et validé par les responsables métier identifiés (Audit Interne, Conformité).</w:t>
      </w:r>
    </w:p>
    <w:p>
      <w:pPr>
        <w:pStyle w:val="Heading1"/>
      </w:pPr>
      <w:r>
        <w:t xml:space="preserve">10. Accompagnement post-formation</w:t>
      </w:r>
    </w:p>
    <w:p>
      <w:pPr>
        <w:spacing w:after="120"/>
      </w:pPr>
      <w:r>
        <w:t xml:space="preserve">L'accompagnement TransferAI ne s'arrête pas à la salle de formation. Les personnes et équipes formées gardent un accès gratuit à la communauté TransferAI, où elles peuvent partager des cas réels, poser des questions d'exécution et recevoir des conseils pratiques. Cet accompagnement aide à transformer la formation en usage concret, puis en preuve d'impact.</w:t>
      </w:r>
    </w:p>
    <w:p>
      <w:pPr>
        <w:pStyle w:val="Heading1"/>
      </w:pPr>
      <w:r>
        <w:t xml:space="preserve">11. Accompagnement 90 jours</w:t>
      </w:r>
    </w:p>
    <w:p>
      <w:pPr>
        <w:spacing w:after="120"/>
      </w:pPr>
      <w:r>
        <w:t xml:space="preserve">Après la formation, TransferAI reste engagé pendant 90 jours pour consolider les usages, répondre aux blocages et sécuriser l'adoption : points de suivi réguliers, permanence questions/réponses, revue des premiers cas traités (par exemple les alertes réglementaires qualifiées par le prototype), ajustement des trames et prompts, lecture des premiers KPI, puis arbitrage sur la suite entre pilote, extension ou réajustement.</w:t>
      </w:r>
    </w:p>
    <w:p>
      <w:pPr>
        <w:spacing w:after="120"/>
      </w:pPr>
      <w:r>
        <w:rPr>
          <w:i/>
          <w:iCs/>
          <w:color w:val="516072"/>
        </w:rPr>
        <w:t xml:space="preserve">Une structure de formation classique transmet un contenu. TransferAI forme, puis accompagne l'usage, la mise en pratique, la gouvernance et la montée en impact.</w:t>
      </w:r>
    </w:p>
    <w:p>
      <w:pPr>
        <w:pStyle w:val="Heading1"/>
      </w:pPr>
      <w:r>
        <w:t xml:space="preserve">12. Proposition immédiate</w:t>
      </w:r>
    </w:p>
    <w:p>
      <w:pPr>
        <w:spacing w:after="120"/>
      </w:pPr>
      <w:r>
        <w:t xml:space="preserve">Planifier un audit IA gratuit centré sur l'Audit Interne, la Conformité et le Reporting, suivi d'un échange expert de 45 minutes incluant une démonstration du prototype de veille réglementaire déjà construit par TransferAI.</w:t>
      </w:r>
    </w:p>
    <w:p>
      <w:pPr>
        <w:pBdr>
          <w:top w:val="single" w:color="D9D3CC" w:sz="6" w:space="4"/>
        </w:pBdr>
        <w:spacing w:after="100" w:before="400"/>
      </w:pPr>
      <w:r>
        <w:t xml:space="preserve"/>
      </w:r>
    </w:p>
    <w:p>
      <w:pPr>
        <w:spacing w:after="20"/>
      </w:pPr>
      <w:r>
        <w:rPr>
          <w:b/>
          <w:bCs/>
          <w:color w:val="10263F"/>
        </w:rPr>
        <w:t xml:space="preserve">Casimir Kassi Beda</w:t>
      </w:r>
    </w:p>
    <w:p>
      <w:pPr>
        <w:spacing w:after="120"/>
      </w:pPr>
      <w:r>
        <w:rPr>
          <w:color w:val="516072"/>
          <w:sz w:val="18"/>
          <w:szCs w:val="18"/>
        </w:rPr>
        <w:t xml:space="preserve">Directeur Général</w:t>
      </w:r>
    </w:p>
    <w:p>
      <w:pPr>
        <w:spacing w:after="20"/>
      </w:pPr>
      <w:r>
        <w:rPr>
          <w:b/>
          <w:bCs/>
          <w:color w:val="10263F"/>
        </w:rPr>
        <w:t xml:space="preserve">Marius Ayoro</w:t>
      </w:r>
    </w:p>
    <w:p>
      <w:pPr>
        <w:spacing w:after="20"/>
      </w:pPr>
      <w:r>
        <w:rPr>
          <w:color w:val="516072"/>
          <w:sz w:val="18"/>
          <w:szCs w:val="18"/>
        </w:rPr>
        <w:t xml:space="preserve">Directeur Développement &amp; Partenariats</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C" w:sz="4" w:space="4"/>
      </w:pBdr>
    </w:pPr>
    <w:r>
      <w:rPr>
        <w:color w:val="516072"/>
        <w:sz w:val="14"/>
        <w:szCs w:val="14"/>
      </w:rPr>
      <w:t xml:space="preserve">TransferAI | Hub IA de Nettelecom CI | contact@transferai.ci | www.transferai.ci | +225 07 16 57 39 90 | Riviera 3, carrefour Sainte Famille, Abidjan</w:t>
    </w:r>
  </w:p>
  <w:p>
    <w:pPr>
      <w:jc w:val="right"/>
    </w:pPr>
    <w:r>
      <w:rPr>
        <w:color w:val="516072"/>
        <w:sz w:val="14"/>
        <w:szCs w:val="14"/>
      </w:rPr>
      <w:t xml:space="preserve">Page </w:t>
    </w:r>
    <w:r>
      <w:rPr>
        <w:color w:val="51607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1076325" cy="476250"/>
          <wp:effectExtent t="0" r="0" b="0" l="0"/>
          <wp:docPr id="1" name="logo" descr="Logo TransferAI Africa x Nettelecom" title="TransferAI x Nette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6724" w:sz="6" w:space="4"/>
      </w:pBdr>
      <w:spacing w:after="180" w:before="360"/>
      <w:outlineLvl w:val="0"/>
    </w:pPr>
    <w:rPr>
      <w:rFonts w:ascii="Arial" w:cs="Arial" w:eastAsia="Arial" w:hAnsi="Arial"/>
      <w:b/>
      <w:bCs/>
      <w:color w:val="10263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D667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4d76f78d87d9c09756a902a6ee31e79f967c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2026-07-08T00:21:04.467Z</dcterms:created>
  <dcterms:modified xsi:type="dcterms:W3CDTF">2026-07-08T00:21:04.469Z</dcterms:modified>
</cp:coreProperties>
</file>

<file path=docProps/custom.xml><?xml version="1.0" encoding="utf-8"?>
<Properties xmlns="http://schemas.openxmlformats.org/officeDocument/2006/custom-properties" xmlns:vt="http://schemas.openxmlformats.org/officeDocument/2006/docPropsVTypes"/>
</file>