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</w:pPr>
      <w:r>
        <w:rPr>
          <w:b/>
          <w:bCs/>
          <w:color w:val="D66724"/>
          <w:sz w:val="20"/>
          <w:szCs w:val="20"/>
        </w:rPr>
        <w:t xml:space="preserve">MINI-CATALOGUE CIBLÉ</w:t>
      </w:r>
    </w:p>
    <w:p>
      <w:pPr>
        <w:spacing w:after="80"/>
      </w:pPr>
      <w:r>
        <w:rPr>
          <w:b/>
          <w:bCs/>
          <w:color w:val="10263F"/>
          <w:sz w:val="36"/>
          <w:szCs w:val="36"/>
        </w:rPr>
        <w:t xml:space="preserve">Approfondir le partenariat TransferAI × Pigier Côte d'Ivoire</w:t>
      </w:r>
    </w:p>
    <w:p>
      <w:pPr>
        <w:spacing w:after="300"/>
      </w:pPr>
      <w:r>
        <w:rPr>
          <w:i/>
          <w:iCs/>
          <w:color w:val="516072"/>
          <w:sz w:val="22"/>
          <w:szCs w:val="22"/>
        </w:rPr>
        <w:t xml:space="preserve">Usages pédagogiques internes et piste de module IA co-brandé</w:t>
      </w:r>
    </w:p>
    <w:p>
      <w:pPr>
        <w:pStyle w:val="Heading1"/>
      </w:pPr>
      <w:r>
        <w:t xml:space="preserve">1. Synthèse exécutive</w:t>
      </w:r>
    </w:p>
    <w:p>
      <w:pPr>
        <w:spacing w:after="120"/>
      </w:pPr>
      <w:r>
        <w:t xml:space="preserve">Pigier Côte d'Ivoire est déjà partenaire de TransferAI Africa. Cette proposition vise à transformer cette relation de visibilité en une collaboration opérationnelle : usages internes pour les équipes pédagogiques et administratives, et piste de module IA co-brandé pour les apprenants.</w:t>
      </w:r>
    </w:p>
    <w:p>
      <w:pPr>
        <w:spacing w:after="120"/>
      </w:pPr>
      <w:r>
        <w:t xml:space="preserve">Contrairement à une formation ponctuelle qui transmet un contenu et s'arrête là, TransferAI reste engagé après la salle de formation : relecture des premiers usages, ajustement des outils, gouvernance et décision d'extension.</w:t>
      </w:r>
    </w:p>
    <w:p>
      <w:pPr>
        <w:pStyle w:val="Heading1"/>
      </w:pPr>
      <w:r>
        <w:t xml:space="preserve">2. Lecture du contexte du prospect</w:t>
      </w:r>
    </w:p>
    <w:p>
      <w:pPr>
        <w:spacing w:after="120"/>
      </w:pPr>
      <w:r>
        <w:t xml:space="preserve">Pigier Côte d'Ivoire est un établissement de formation professionnelle déjà associé à TransferAI Africa en tant que partenaire affiché. Cette proximité facilite une discussion directe, sans démarche de prospection froide.</w:t>
      </w:r>
    </w:p>
    <w:p>
      <w:pPr>
        <w:spacing w:after="120"/>
      </w:pPr>
      <w:r>
        <w:t xml:space="preserve">Les fonctions les plus concernées par une meilleure exploitation de l'IA sont, à ce stade et sous réserve de confirmation lors de l'audit : la conception pédagogique, le suivi des cohortes, les admissions et la vie étudiante.</w:t>
      </w:r>
    </w:p>
    <w:p>
      <w:pPr>
        <w:spacing w:after="120"/>
      </w:pPr>
      <w:r>
        <w:t xml:space="preserve">Le sujet mérite d'être traité maintenant parce qu'un partenariat de marque peut évoluer vers une collaboration à plus forte valeur pour les deux parties.</w:t>
      </w:r>
    </w:p>
    <w:p>
      <w:pPr>
        <w:pStyle w:val="Heading1"/>
      </w:pPr>
      <w:r>
        <w:t xml:space="preserve">3. Priorités métier et irritants visibles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Conception de modules, cas et supports pédagogiques consommatrice de temps expert.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Résultats de cohortes longs à interpréter pour ajuster l'accompagnement pédagogique.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Demandes candidats et étudiants traitées de façon hétérogène selon les canaux.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Partenariat actuel limité à une visibilité de marque, sans usage opérationnel partagé.</w:t>
      </w:r>
    </w:p>
    <w:p>
      <w:pPr>
        <w:pStyle w:val="Heading1"/>
      </w:pPr>
      <w:r>
        <w:t xml:space="preserve">4. Cas d'usage et quick wins recommandés</w:t>
      </w:r>
    </w:p>
    <w:p>
      <w:pPr>
        <w:spacing w:after="120"/>
      </w:pPr>
      <w:r>
        <w:t xml:space="preserve">Ces cas d'usage restent des hypothèses de travail à confirmer et prioriser lors de l'audit, en concertation avec la direction de Pigier CI.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Conception pédagogique augmentée (cas d'usage phare)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Modules et supports longs à concevoir et décliner en plusieurs formats.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Plans de cours et déclinaisons multi-format accélérés par l'IA.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Temps de conception ; nombre de formats produits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Suivi de cohortes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Résultats d'apprenants longs à interpréter par les responsables pédagogiques.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Synthèses actionnables sur les acquis et difficultés par cohorte.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Délai de synthèse ; actions correctives engagées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Admissions et vie étudiante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Demandes candidats/étudiants traitées de façon hétérogène selon les canaux.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Assistant de réponse encadré, base homogène pour le suivi étudiant.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Temps de réponse ; taux de résolution 1er niveau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Module IA co-brandé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Le partenariat reste aujourd'hui essentiellement une visibilité de marque.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Un module ou une certification IA co-construite, intégrée à l'offre de formation de Pigier CI.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Nombre d'apprenants formés ; satisfaction pédagogique</w:t>
      </w:r>
    </w:p>
    <w:p>
      <w:pPr>
        <w:pStyle w:val="Heading1"/>
      </w:pPr>
      <w:r>
        <w:t xml:space="preserve">5. Porte d'entrée recommandée</w:t>
      </w:r>
    </w:p>
    <w:p>
      <w:pPr>
        <w:spacing w:after="120"/>
      </w:pPr>
      <w:r>
        <w:t xml:space="preserve">Un audit gratuit centré sur les équipes pédagogiques et administratives, suivi d'un échange de 45 minutes pour explorer la piste de module co-brandé.</w:t>
      </w:r>
    </w:p>
    <w:p>
      <w:pPr>
        <w:pStyle w:val="Heading1"/>
      </w:pPr>
      <w:r>
        <w:t xml:space="preserve">6. Parcours recommandé</w:t>
      </w:r>
    </w:p>
    <w:p>
      <w:pPr>
        <w:spacing w:after="60"/>
      </w:pPr>
      <w:r>
        <w:rPr>
          <w:b/>
          <w:bCs/>
        </w:rPr>
        <w:t xml:space="preserve">J+0 — Cadrage et priorisation : </w:t>
      </w:r>
      <w:r>
        <w:t xml:space="preserve">distinguer le terrain interne du terrain partenarial, identifier les interlocuteurs.</w:t>
      </w:r>
    </w:p>
    <w:p>
      <w:pPr>
        <w:spacing w:after="60"/>
      </w:pPr>
      <w:r>
        <w:rPr>
          <w:b/>
          <w:bCs/>
        </w:rPr>
        <w:t xml:space="preserve">J+15 — Premier livrable utile : </w:t>
      </w:r>
      <w:r>
        <w:t xml:space="preserve">calibrer un premier module pédagogique augmenté ou une première maquette de module co-brandé.</w:t>
      </w:r>
    </w:p>
    <w:p>
      <w:pPr>
        <w:spacing w:after="60"/>
      </w:pPr>
      <w:r>
        <w:rPr>
          <w:b/>
          <w:bCs/>
        </w:rPr>
        <w:t xml:space="preserve">J+45 — Formation ciblée et pilote : </w:t>
      </w:r>
      <w:r>
        <w:t xml:space="preserve">former les équipes retenues et lancer le premier terrain, sous supervision humaine.</w:t>
      </w:r>
    </w:p>
    <w:p>
      <w:pPr>
        <w:spacing w:after="200"/>
      </w:pPr>
      <w:r>
        <w:rPr>
          <w:b/>
          <w:bCs/>
        </w:rPr>
        <w:t xml:space="preserve">J+90 — Mesure et décision : </w:t>
      </w:r>
      <w:r>
        <w:t xml:space="preserve">relire les premiers résultats et décider de l'extension du partenariat.</w:t>
      </w:r>
    </w:p>
    <w:p>
      <w:pPr>
        <w:pStyle w:val="Heading1"/>
      </w:pPr>
      <w:r>
        <w:t xml:space="preserve">7. Formations prioritaires</w:t>
      </w:r>
    </w:p>
    <w:p>
      <w:pPr>
        <w:spacing w:after="120"/>
      </w:pPr>
      <w:r>
        <w:t xml:space="preserve">Sélection resserrée à six formations, orientées usages pédagogiques et administratifs.</w:t>
      </w:r>
    </w:p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PÉDAGOGIE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Conception Pédagogique Augmentée par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Corps enseignant, ingénierie pédagogique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Accélérer la conception de modules, cas et supports multi-format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référentiels de formation existants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Trames de plan de cours ; bibliothèque de cas types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Pigier Côte d'Ivoire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directement à l'irritant « conception pédagogique ».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Analyse de Cohortes avec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Responsables pédagogiques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Transformer les résultats d'apprenants en synthèses actionnables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Disposer de données de suivi existantes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Trames de synthèse de cohorte ; grille d'action corrective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Pigier Côte d'Ivoire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à l'irritant « suivi de cohortes ».</w:t>
            </w:r>
          </w:p>
        </w:tc>
      </w:tr>
    </w:tbl>
    <w:p/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ADMINISTRATION ET RELATION ÉTUDIANTE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CRM Étudiant Intelligent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Admissions, vie étudiante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Homogénéiser les réponses aux candidats et étudiants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procédures d'admission existantes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 de réponses type ; checklist de suivi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Pigier Côte d'Ivoire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à l'irritant « admissions et vie étudiante ».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Optimisation des Processus Administratifs avec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Administration, secrétariat pédagogique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Fluidifier les tâches administratives récurrentes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Checklists et trames administratives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Pigier Côte d'Ivoire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Libère du temps pour l'accompagnement pédagogique.</w:t>
            </w:r>
          </w:p>
        </w:tc>
      </w:tr>
    </w:tbl>
    <w:p/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DIRECTION ET PARTENARIAT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IA pour Dirigeants : Vision et Stratégie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Direction de l'établissement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Donner une lecture claire des usages, limites et conditions de réussite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 prérequis technique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Grille de lecture des priorités ; cadre de gouvernance proposé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 minutes à 1 demi-journée, à confirmer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Pigier Côte d'Ivoire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Aligne la direction avant tout déploiement.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Construction d'Offres IA Co-brandées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Direction, marketing pédagogique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Cadrer une offre ou un module co-construit avec un partenaire technologique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 prérequis technique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Trame de cahier des charges d'offre co-brandée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Pigier Côte d'Ivoire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Structure la piste de partenariat au-delà de la visibilité de marque.</w:t>
            </w:r>
          </w:p>
        </w:tc>
      </w:tr>
    </w:tbl>
    <w:p/>
    <w:p>
      <w:pPr>
        <w:pStyle w:val="Heading1"/>
      </w:pPr>
      <w:r>
        <w:t xml:space="preserve">8. Livrables attendus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de priorités distinguant terrain interne et terrain partenarial.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Premier module pédagogique augmenté ou maquette de module co-brandé.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Supports de formation contextualisés aux usages pédagogiques et administratifs.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Trames, prompts, checklists réutilisables.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Feuille de route d'exécution sur 90 jours.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Points de revue d'usage et d'adoption.</w:t>
      </w:r>
    </w:p>
    <w:p>
      <w:pPr>
        <w:pStyle w:val="Heading1"/>
      </w:pPr>
      <w:r>
        <w:t xml:space="preserve">9. Gouvernance, confidentialité et conduite du changement</w:t>
      </w:r>
    </w:p>
    <w:p>
      <w:pPr>
        <w:spacing w:after="120"/>
      </w:pPr>
      <w:r>
        <w:t xml:space="preserve">Compte tenu des données étudiantes manipulées par Pigier CI, ce volet est non négociable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données étudiantes et pédagogiques restent sous supervision humaine systématique.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Toute recommandation générée par l'IA fait l'objet d'une revue humaine avant diffusion.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progression se fait par pilote encadré avant toute extension.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cadre d'usage est documenté et validé par la direction de Pigier CI.</w:t>
      </w:r>
    </w:p>
    <w:p>
      <w:pPr>
        <w:pStyle w:val="Heading1"/>
      </w:pPr>
      <w:r>
        <w:t xml:space="preserve">10. Accompagnement post-formation</w:t>
      </w:r>
    </w:p>
    <w:p>
      <w:pPr>
        <w:spacing w:after="120"/>
      </w:pPr>
      <w:r>
        <w:t xml:space="preserve">L'accompagnement TransferAI ne s'arrête pas à la salle de formation. Les équipes formées gardent un accès gratuit à la communauté TransferAI pour partager des cas réels et recevoir des conseils pratiques d'exécution.</w:t>
      </w:r>
    </w:p>
    <w:p>
      <w:pPr>
        <w:pStyle w:val="Heading1"/>
      </w:pPr>
      <w:r>
        <w:t xml:space="preserve">11. Accompagnement 90 jours</w:t>
      </w:r>
    </w:p>
    <w:p>
      <w:pPr>
        <w:spacing w:after="120"/>
      </w:pPr>
      <w:r>
        <w:t xml:space="preserve">Après la formation, TransferAI reste engagé pendant 90 jours : points de suivi, permanence questions/réponses, revue des premiers cas traités, ajustement des trames, lecture des premiers résultats, puis décision sur la suite du partenariat.</w:t>
      </w:r>
    </w:p>
    <w:p>
      <w:pPr>
        <w:spacing w:after="120"/>
      </w:pPr>
      <w:r>
        <w:rPr>
          <w:i/>
          <w:iCs/>
          <w:color w:val="516072"/>
        </w:rPr>
        <w:t xml:space="preserve">Une structure de formation classique transmet un contenu. TransferAI forme, puis accompagne l'usage, la mise en pratique, la gouvernance et la montée en impact.</w:t>
      </w:r>
    </w:p>
    <w:p>
      <w:pPr>
        <w:pStyle w:val="Heading1"/>
      </w:pPr>
      <w:r>
        <w:t xml:space="preserve">12. Proposition immédiate</w:t>
      </w:r>
    </w:p>
    <w:p>
      <w:pPr>
        <w:spacing w:after="120"/>
      </w:pPr>
      <w:r>
        <w:t xml:space="preserve">Planifier un audit gratuit centré sur les équipes pédagogiques et administratives, suivi d'un échange de 45 minutes pour explorer la piste de module co-brandé.</w:t>
      </w:r>
    </w:p>
    <w:p>
      <w:pPr>
        <w:pBdr>
          <w:top w:val="single" w:color="D9D3CC" w:sz="6" w:space="4"/>
        </w:pBdr>
        <w:spacing w:after="100" w:before="400"/>
      </w:pPr>
      <w:r>
        <w:t xml:space="preserve"/>
      </w:r>
    </w:p>
    <w:p>
      <w:pPr>
        <w:spacing w:after="20"/>
      </w:pPr>
      <w:r>
        <w:rPr>
          <w:b/>
          <w:bCs/>
          <w:color w:val="10263F"/>
        </w:rPr>
        <w:t xml:space="preserve">Casimir Kassi Beda</w:t>
      </w:r>
    </w:p>
    <w:p>
      <w:pPr>
        <w:spacing w:after="120"/>
      </w:pPr>
      <w:r>
        <w:rPr>
          <w:color w:val="516072"/>
          <w:sz w:val="18"/>
          <w:szCs w:val="18"/>
        </w:rPr>
        <w:t xml:space="preserve">Directeur Général</w:t>
      </w:r>
    </w:p>
    <w:p>
      <w:pPr>
        <w:spacing w:after="20"/>
      </w:pPr>
      <w:r>
        <w:rPr>
          <w:b/>
          <w:bCs/>
          <w:color w:val="10263F"/>
        </w:rPr>
        <w:t xml:space="preserve">Marius Ayoro</w:t>
      </w:r>
    </w:p>
    <w:p>
      <w:pPr>
        <w:spacing w:after="20"/>
      </w:pPr>
      <w:r>
        <w:rPr>
          <w:color w:val="516072"/>
          <w:sz w:val="18"/>
          <w:szCs w:val="18"/>
        </w:rPr>
        <w:t xml:space="preserve">Directeur Développement &amp; Partenariats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C" w:sz="4" w:space="4"/>
      </w:pBdr>
    </w:pPr>
    <w:r>
      <w:rPr>
        <w:color w:val="516072"/>
        <w:sz w:val="14"/>
        <w:szCs w:val="14"/>
      </w:rPr>
      <w:t xml:space="preserve">TransferAI | Hub IA de Nettelecom CI | contact@transferai.ci | www.transferai.ci | +225 07 16 57 39 90 | Riviera 3, carrefour Sainte Famille, Abidjan</w:t>
    </w:r>
  </w:p>
  <w:p>
    <w:pPr>
      <w:jc w:val="right"/>
    </w:pPr>
    <w:r>
      <w:rPr>
        <w:color w:val="516072"/>
        <w:sz w:val="14"/>
        <w:szCs w:val="14"/>
      </w:rPr>
      <w:t xml:space="preserve">Page </w:t>
    </w:r>
    <w:r>
      <w:rPr>
        <w:color w:val="516072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076325" cy="476250"/>
          <wp:effectExtent t="0" r="0" b="0" l="0"/>
          <wp:docPr id="1" name="logo" descr="Logo" title="TransferAI x Nettele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6724" w:sz="6" w:space="4"/>
      </w:pBdr>
      <w:spacing w:after="180" w:before="360"/>
      <w:outlineLvl w:val="0"/>
    </w:pPr>
    <w:rPr>
      <w:rFonts w:ascii="Arial" w:cs="Arial" w:eastAsia="Arial" w:hAnsi="Arial"/>
      <w:b/>
      <w:bCs/>
      <w:color w:val="1026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D667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64d76f78d87d9c09756a902a6ee31e79f967c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2026-07-08T00:21:05.480Z</dcterms:created>
  <dcterms:modified xsi:type="dcterms:W3CDTF">2026-07-08T00:21:05.480Z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