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</w:pPr>
      <w:r>
        <w:rPr>
          <w:b/>
          <w:bCs/>
          <w:color w:val="D66724"/>
          <w:sz w:val="20"/>
          <w:szCs w:val="20"/>
        </w:rPr>
        <w:t xml:space="preserve">MINI-CATALOGUE CIBLÉ</w:t>
      </w:r>
    </w:p>
    <w:p>
      <w:pPr>
        <w:spacing w:after="80"/>
      </w:pPr>
      <w:r>
        <w:rPr>
          <w:b/>
          <w:bCs/>
          <w:color w:val="10263F"/>
          <w:sz w:val="36"/>
          <w:szCs w:val="36"/>
        </w:rPr>
        <w:t xml:space="preserve">Proposition ciblée de formation et d'accompagnement IA pour la SMB</w:t>
      </w:r>
    </w:p>
    <w:p>
      <w:pPr>
        <w:spacing w:after="300"/>
      </w:pPr>
      <w:r>
        <w:rPr>
          <w:i/>
          <w:iCs/>
          <w:color w:val="516072"/>
          <w:sz w:val="22"/>
          <w:szCs w:val="22"/>
        </w:rPr>
        <w:t xml:space="preserve">Direction Générale, Direction des Systèmes d'Information et production — Société Multi-Brasseries</w:t>
      </w:r>
    </w:p>
    <w:p>
      <w:pPr>
        <w:pStyle w:val="Heading1"/>
      </w:pPr>
      <w:r>
        <w:t xml:space="preserve">1. Synthèse exécutive</w:t>
      </w:r>
    </w:p>
    <w:p>
      <w:pPr>
        <w:spacing w:after="120"/>
      </w:pPr>
      <w:r>
        <w:t xml:space="preserve">La SMB cherche à renforcer la continuité de ses systèmes d'information, la lisibilité de ses KPI de production et la rigueur de son suivi qualité. TransferAI Africa propose une démarche de service : un audit pour qualifier les priorités, une formation ciblée des dirigeants et des équipes, puis un accompagnement de mise en pratique sur 90 jours.</w:t>
      </w:r>
    </w:p>
    <w:p>
      <w:pPr>
        <w:spacing w:after="120"/>
      </w:pPr>
      <w:r>
        <w:t xml:space="preserve">Contrairement à une formation ponctuelle qui transmet un contenu et s'arrête là, TransferAI reste engagé après la salle de formation : relecture des premiers usages, ajustement des outils, gouvernance et décision d'extension.</w:t>
      </w:r>
    </w:p>
    <w:p>
      <w:pPr>
        <w:pStyle w:val="Heading1"/>
      </w:pPr>
      <w:r>
        <w:t xml:space="preserve">2. Lecture du contexte du prospect</w:t>
      </w:r>
    </w:p>
    <w:p>
      <w:pPr>
        <w:spacing w:after="120"/>
      </w:pPr>
      <w:r>
        <w:t xml:space="preserve">La SMB (Société Multi-Brasseries) opère dans un environnement de production industrielle où la continuité des systèmes d'information, la qualité et la standardisation des procédures sont critiques.</w:t>
      </w:r>
    </w:p>
    <w:p>
      <w:pPr>
        <w:spacing w:after="120"/>
      </w:pPr>
      <w:r>
        <w:t xml:space="preserve">Les fonctions les plus concernées par une meilleure exploitation de l'IA sont, à ce stade et sous réserve de confirmation lors de l'audit : la Direction des Systèmes d'Information, la production, la qualité et la Direction Générale pour le pilotage de l'activité.</w:t>
      </w:r>
    </w:p>
    <w:p>
      <w:pPr>
        <w:spacing w:after="120"/>
      </w:pPr>
      <w:r>
        <w:t xml:space="preserve">Le sujet mérite d'être traité maintenant parce que la charge de tickets répétitifs et de reporting manuel mobilise du temps d'expert qui pourrait être réorienté vers des sujets à plus forte valeur.</w:t>
      </w:r>
    </w:p>
    <w:p>
      <w:pPr>
        <w:pStyle w:val="Heading1"/>
      </w:pPr>
      <w:r>
        <w:t xml:space="preserve">3. Priorités métier et irritants visibles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IT saturé : 60 à 70 % des tickets Helpdesk sont récurrents et traitables sans intervention humaine systématique.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KPI de production techniques et peu commentés, difficiles à transformer en décisions rapides pour la direction.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Qualité et incidents suivis dans des circuits dispersés, avec un risque de correction tardive.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Procédures et standards de travail hétérogènes, difficiles à mettre à jour et diffuser sur tous les sites.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Documentation technique IT dispersée ou obsolète, avec un risque de perte de savoir-faire lors des départs.</w:t>
      </w:r>
    </w:p>
    <w:p>
      <w:pPr>
        <w:pStyle w:val="Heading1"/>
      </w:pPr>
      <w:r>
        <w:t xml:space="preserve">4. Cas d'usage et quick wins recommandés</w:t>
      </w:r>
    </w:p>
    <w:p>
      <w:pPr>
        <w:spacing w:after="120"/>
      </w:pPr>
      <w:r>
        <w:t xml:space="preserve">Ces cas d'usage restent des hypothèses de travail à confirmer et prioriser lors de l'audit. Les deux premiers s'appuient sur un travail de modélisation déjà réalisé par TransferAI pour une Direction Informatique en contexte industriel comparable.</w:t>
      </w:r>
    </w:p>
    <w:p>
      <w:pPr>
        <w:spacing w:after="60" w:before="160"/>
      </w:pPr>
      <w:r>
        <w:rPr>
          <w:b/>
          <w:bCs/>
          <w:color w:val="10263F"/>
          <w:sz w:val="22"/>
          <w:szCs w:val="22"/>
        </w:rPr>
        <w:t xml:space="preserve">Helpdesk IT augmenté (cas d'usage phare)</w:t>
      </w:r>
    </w:p>
    <w:p>
      <w:pPr>
        <w:spacing w:after="40"/>
      </w:pPr>
      <w:r>
        <w:rPr>
          <w:b/>
          <w:bCs/>
          <w:color w:val="8A5A00"/>
        </w:rPr>
        <w:t xml:space="preserve">Avant : </w:t>
      </w:r>
      <w:r>
        <w:t xml:space="preserve">Tickets répétitifs saturant le support de niveau 1, traités au même rythme que les cas complexes.</w:t>
      </w:r>
    </w:p>
    <w:p>
      <w:pPr>
        <w:spacing w:after="40"/>
      </w:pPr>
      <w:r>
        <w:rPr>
          <w:b/>
          <w:bCs/>
          <w:color w:val="2FB67E"/>
        </w:rPr>
        <w:t xml:space="preserve">Après : </w:t>
      </w:r>
      <w:r>
        <w:t xml:space="preserve">Chatbot IT disponible en continu, résolution automatique des cas courants et escalade intelligente vers le bon technicien.</w:t>
      </w:r>
    </w:p>
    <w:p>
      <w:pPr>
        <w:spacing w:after="120"/>
      </w:pPr>
      <w:r>
        <w:rPr>
          <w:b/>
          <w:bCs/>
          <w:color w:val="516072"/>
        </w:rPr>
        <w:t xml:space="preserve">KPI à suivre : </w:t>
      </w:r>
      <w:r>
        <w:rPr>
          <w:i/>
          <w:iCs/>
        </w:rPr>
        <w:t xml:space="preserve">Temps de résolution niveau 1 ; taux d'automatisation des tickets</w:t>
      </w:r>
    </w:p>
    <w:p>
      <w:pPr>
        <w:spacing w:after="60" w:before="160"/>
      </w:pPr>
      <w:r>
        <w:rPr>
          <w:b/>
          <w:bCs/>
          <w:color w:val="10263F"/>
          <w:sz w:val="22"/>
          <w:szCs w:val="22"/>
        </w:rPr>
        <w:t xml:space="preserve">Reporting production automatisé</w:t>
      </w:r>
    </w:p>
    <w:p>
      <w:pPr>
        <w:spacing w:after="40"/>
      </w:pPr>
      <w:r>
        <w:rPr>
          <w:b/>
          <w:bCs/>
          <w:color w:val="8A5A00"/>
        </w:rPr>
        <w:t xml:space="preserve">Avant : </w:t>
      </w:r>
      <w:r>
        <w:t xml:space="preserve">Chiffres de production existants mais longs à commenter et transformer en décisions.</w:t>
      </w:r>
    </w:p>
    <w:p>
      <w:pPr>
        <w:spacing w:after="40"/>
      </w:pPr>
      <w:r>
        <w:rPr>
          <w:b/>
          <w:bCs/>
          <w:color w:val="2FB67E"/>
        </w:rPr>
        <w:t xml:space="preserve">Après : </w:t>
      </w:r>
      <w:r>
        <w:t xml:space="preserve">Synthèses et commentaires de tendances de production accélérés et diffusés à la direction.</w:t>
      </w:r>
    </w:p>
    <w:p>
      <w:pPr>
        <w:spacing w:after="120"/>
      </w:pPr>
      <w:r>
        <w:rPr>
          <w:b/>
          <w:bCs/>
          <w:color w:val="516072"/>
        </w:rPr>
        <w:t xml:space="preserve">KPI à suivre : </w:t>
      </w:r>
      <w:r>
        <w:rPr>
          <w:i/>
          <w:iCs/>
        </w:rPr>
        <w:t xml:space="preserve">Temps de production du rapport ; délai de diffusion</w:t>
      </w:r>
    </w:p>
    <w:p>
      <w:pPr>
        <w:spacing w:after="60" w:before="160"/>
      </w:pPr>
      <w:r>
        <w:rPr>
          <w:b/>
          <w:bCs/>
          <w:color w:val="10263F"/>
          <w:sz w:val="22"/>
          <w:szCs w:val="22"/>
        </w:rPr>
        <w:t xml:space="preserve">Qualité et incidents</w:t>
      </w:r>
    </w:p>
    <w:p>
      <w:pPr>
        <w:spacing w:after="40"/>
      </w:pPr>
      <w:r>
        <w:rPr>
          <w:b/>
          <w:bCs/>
          <w:color w:val="8A5A00"/>
        </w:rPr>
        <w:t xml:space="preserve">Avant : </w:t>
      </w:r>
      <w:r>
        <w:t xml:space="preserve">Remontées terrain et vigilance qualité suivies dans des circuits séparés.</w:t>
      </w:r>
    </w:p>
    <w:p>
      <w:pPr>
        <w:spacing w:after="40"/>
      </w:pPr>
      <w:r>
        <w:rPr>
          <w:b/>
          <w:bCs/>
          <w:color w:val="2FB67E"/>
        </w:rPr>
        <w:t xml:space="preserve">Après : </w:t>
      </w:r>
      <w:r>
        <w:t xml:space="preserve">Signaux utiles consolidés plus tôt pour correction ciblée, avant arbitrage humain.</w:t>
      </w:r>
    </w:p>
    <w:p>
      <w:pPr>
        <w:spacing w:after="120"/>
      </w:pPr>
      <w:r>
        <w:rPr>
          <w:b/>
          <w:bCs/>
          <w:color w:val="516072"/>
        </w:rPr>
        <w:t xml:space="preserve">KPI à suivre : </w:t>
      </w:r>
      <w:r>
        <w:rPr>
          <w:i/>
          <w:iCs/>
        </w:rPr>
        <w:t xml:space="preserve">Délai de détection ; incidents qualité traités tôt</w:t>
      </w:r>
    </w:p>
    <w:p>
      <w:pPr>
        <w:spacing w:after="60" w:before="160"/>
      </w:pPr>
      <w:r>
        <w:rPr>
          <w:b/>
          <w:bCs/>
          <w:color w:val="10263F"/>
          <w:sz w:val="22"/>
          <w:szCs w:val="22"/>
        </w:rPr>
        <w:t xml:space="preserve">Documentation de poste harmonisée</w:t>
      </w:r>
    </w:p>
    <w:p>
      <w:pPr>
        <w:spacing w:after="40"/>
      </w:pPr>
      <w:r>
        <w:rPr>
          <w:b/>
          <w:bCs/>
          <w:color w:val="8A5A00"/>
        </w:rPr>
        <w:t xml:space="preserve">Avant : </w:t>
      </w:r>
      <w:r>
        <w:t xml:space="preserve">Standards de travail difficiles à mettre à jour et diffuser sur tous les sites.</w:t>
      </w:r>
    </w:p>
    <w:p>
      <w:pPr>
        <w:spacing w:after="40"/>
      </w:pPr>
      <w:r>
        <w:rPr>
          <w:b/>
          <w:bCs/>
          <w:color w:val="2FB67E"/>
        </w:rPr>
        <w:t xml:space="preserve">Après : </w:t>
      </w:r>
      <w:r>
        <w:t xml:space="preserve">Génération assistée de procédures, recherche sémantique dans la base documentaire.</w:t>
      </w:r>
    </w:p>
    <w:p>
      <w:pPr>
        <w:spacing w:after="120"/>
      </w:pPr>
      <w:r>
        <w:rPr>
          <w:b/>
          <w:bCs/>
          <w:color w:val="516072"/>
        </w:rPr>
        <w:t xml:space="preserve">KPI à suivre : </w:t>
      </w:r>
      <w:r>
        <w:rPr>
          <w:i/>
          <w:iCs/>
        </w:rPr>
        <w:t xml:space="preserve">Couverture documentaire ; délai de mise à jour</w:t>
      </w:r>
    </w:p>
    <w:p>
      <w:pPr>
        <w:pStyle w:val="Heading1"/>
      </w:pPr>
      <w:r>
        <w:t xml:space="preserve">5. Porte d'entrée recommandée</w:t>
      </w:r>
    </w:p>
    <w:p>
      <w:pPr>
        <w:spacing w:after="120"/>
      </w:pPr>
      <w:r>
        <w:t xml:space="preserve">Un audit IA gratuit, ciblé sur la Direction des Systèmes d'Information et les processus de production prioritaires, suivi d'un échange expert de 45 minutes en présence, si possible, de la DSI.</w:t>
      </w:r>
    </w:p>
    <w:p>
      <w:pPr>
        <w:pStyle w:val="Heading1"/>
      </w:pPr>
      <w:r>
        <w:t xml:space="preserve">6. Parcours recommandé</w:t>
      </w:r>
    </w:p>
    <w:p>
      <w:pPr>
        <w:spacing w:after="60"/>
      </w:pPr>
      <w:r>
        <w:rPr>
          <w:b/>
          <w:bCs/>
        </w:rPr>
        <w:t xml:space="preserve">J+0 — Audit, cadrage et priorisation : </w:t>
      </w:r>
      <w:r>
        <w:t xml:space="preserve">identifier les flux prioritaires (support IT, reporting production, qualité) et les équipes à mobiliser.</w:t>
      </w:r>
    </w:p>
    <w:p>
      <w:pPr>
        <w:spacing w:after="60"/>
      </w:pPr>
      <w:r>
        <w:rPr>
          <w:b/>
          <w:bCs/>
        </w:rPr>
        <w:t xml:space="preserve">J+15 — Premier livrable utile : </w:t>
      </w:r>
      <w:r>
        <w:t xml:space="preserve">calibrer un premier assistant Helpdesk ou un kit de reporting sur les données réelles de la SMB.</w:t>
      </w:r>
    </w:p>
    <w:p>
      <w:pPr>
        <w:spacing w:after="60"/>
      </w:pPr>
      <w:r>
        <w:rPr>
          <w:b/>
          <w:bCs/>
        </w:rPr>
        <w:t xml:space="preserve">J+45 — Formation ciblée et pilote : </w:t>
      </w:r>
      <w:r>
        <w:t xml:space="preserve">former les équipes retenues et lancer le premier terrain d'exécution, sous supervision humaine.</w:t>
      </w:r>
    </w:p>
    <w:p>
      <w:pPr>
        <w:spacing w:after="200"/>
      </w:pPr>
      <w:r>
        <w:rPr>
          <w:b/>
          <w:bCs/>
        </w:rPr>
        <w:t xml:space="preserve">J+90 — Mesure, gouvernance et extension : </w:t>
      </w:r>
      <w:r>
        <w:t xml:space="preserve">relire les premiers KPI, ajuster les usages et décider de l'extension, du recentrage ou de la montée en charge.</w:t>
      </w:r>
    </w:p>
    <w:p>
      <w:pPr>
        <w:pStyle w:val="Heading1"/>
      </w:pPr>
      <w:r>
        <w:t xml:space="preserve">7. Formations prioritaires</w:t>
      </w:r>
    </w:p>
    <w:p>
      <w:pPr>
        <w:spacing w:after="120"/>
      </w:pPr>
      <w:r>
        <w:t xml:space="preserve">Sélection resserrée à six formations, regroupées en trois familles métier, plutôt qu'un catalogue générique.</w:t>
      </w:r>
    </w:p>
    <w:p>
      <w:pPr>
        <w:spacing w:after="40"/>
      </w:pPr>
      <w:r>
        <w:rPr>
          <w:b/>
          <w:bCs/>
          <w:color w:val="D66724"/>
          <w:sz w:val="18"/>
          <w:szCs w:val="18"/>
        </w:rPr>
        <w:t xml:space="preserve">FAMILLE — SYSTÈMES D'INFORMATION ET SUPPORT</w:t>
      </w:r>
    </w:p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Helpdesk IT Augmenté par l'IA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Direction Informatique, support niveau 1 et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Automatiser la résolution des tickets récurrents ; structurer une escalade intelligente vers les bons techniciens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Connaître les procédures Helpdesk existantes ; 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 de connaissance auto-apprenante ; scripts de résolution ; checklist d'escalade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la SMB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S'appuie directement sur le travail déjà modélisé pour une DSI en contexte industriel comparable.</w:t>
            </w:r>
          </w:p>
        </w:tc>
      </w:tr>
    </w:tbl>
    <w:p/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Documentation Technique Augmentée par l'IA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Direction Informatique,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Générer des procédures depuis les tickets et le savoir-faire existant ; centraliser la base documentaire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Connaître les procédures existantes ; 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Runbooks types ; recherche sémantique dans la base documentaire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la SMB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Répond à l'irritant « documentation technique dispersée » identifié plus haut.</w:t>
            </w:r>
          </w:p>
        </w:tc>
      </w:tr>
    </w:tbl>
    <w:p/>
    <w:p>
      <w:pPr>
        <w:spacing w:after="40"/>
      </w:pPr>
      <w:r>
        <w:rPr>
          <w:b/>
          <w:bCs/>
          <w:color w:val="D66724"/>
          <w:sz w:val="18"/>
          <w:szCs w:val="18"/>
        </w:rPr>
        <w:t xml:space="preserve">FAMILLE — PRODUCTION ET QUALITÉ</w:t>
      </w:r>
    </w:p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Reporting Production Automatisé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Production, contrôle de gestion, direction industrielle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Accélérer la production des synthèses et commentaires de KPI industriels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Disposer d'exemples de reporting existants ; 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 type ; trame de commentaire automatisée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la SMB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Répond à l'irritant « KPI industriels peu racontés » identifié plus haut.</w:t>
            </w:r>
          </w:p>
        </w:tc>
      </w:tr>
    </w:tbl>
    <w:p/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Qualité Augmentée par l'IA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Qualité, production, HSE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Mieux consolider les remontées terrain et signaux de vigilance qualité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Connaître les procédures qualité en vigueur ; 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Grille de lecture des signaux faibles ; checklist de suivi qualité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la SMB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Répond à l'irritant « qualité et incidents dispersés » identifié plus haut.</w:t>
            </w:r>
          </w:p>
        </w:tc>
      </w:tr>
    </w:tbl>
    <w:p/>
    <w:p>
      <w:pPr>
        <w:spacing w:after="40"/>
      </w:pPr>
      <w:r>
        <w:rPr>
          <w:b/>
          <w:bCs/>
          <w:color w:val="D66724"/>
          <w:sz w:val="18"/>
          <w:szCs w:val="18"/>
        </w:rPr>
        <w:t xml:space="preserve">FAMILLE — DIRECTION ET PILOTAGE</w:t>
      </w:r>
    </w:p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IA pour Dirigeants : Vision et Stratégie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Direction générale, comité de direction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Donner une lecture claire des usages, limites et conditions de réussite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Aucun prérequis technique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Grille de lecture des priorités ; cadre de gouvernance proposé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 minutes à 1 demi-journée, à confirmer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la SMB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Assure l'alignement de la direction avant le déploiement des usages métier.</w:t>
            </w:r>
          </w:p>
        </w:tc>
      </w:tr>
    </w:tbl>
    <w:p/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Optimisation des Processus Métier avec l'IA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Production, opérations, fonctions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Harmoniser les procédures et standards de travail entre sites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Connaître les processus concernés ; 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Trames de procédures type ; checklist d'harmonisation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la SMB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Répond à l'irritant « procédures et supports hétérogènes » identifié plus haut.</w:t>
            </w:r>
          </w:p>
        </w:tc>
      </w:tr>
    </w:tbl>
    <w:p/>
    <w:p>
      <w:pPr>
        <w:pStyle w:val="Heading1"/>
      </w:pPr>
      <w:r>
        <w:t xml:space="preserve">8. Livrables attendus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 de priorités et séquence recommandée.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Premier assistant Helpdesk ou kit de reporting calibré sur les données réelles de la SMB.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Supports de formation contextualisés aux processus IT et production de la SMB.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Trames, prompts, checklists réutilisables (escalade, reporting, suivi qualité).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Feuille de route d'exécution sur 90 jours.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Points de revue d'usage et d'adoption.</w:t>
      </w:r>
    </w:p>
    <w:p>
      <w:pPr>
        <w:pStyle w:val="Heading1"/>
      </w:pPr>
      <w:r>
        <w:t xml:space="preserve">9. Gouvernance, confidentialité et conduite du changement</w:t>
      </w:r>
    </w:p>
    <w:p>
      <w:pPr>
        <w:spacing w:after="120"/>
      </w:pPr>
      <w:r>
        <w:t xml:space="preserve">Compte tenu de la nature industrielle des systèmes et des données de production de la SMB, ce volet est non négociable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données techniques, opérationnelles et documents internes restent sous supervision humaine systématique.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Toute alerte qualité ou de sécurité générée par l'IA fait l'objet d'une revue humaine avant 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progression se fait par pilote encadré avant toute extension à d'autres périmètres.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cadre d'usage est documenté et validé par les responsables métier identifiés (DSI, production, qualité).</w:t>
      </w:r>
    </w:p>
    <w:p>
      <w:pPr>
        <w:pStyle w:val="Heading1"/>
      </w:pPr>
      <w:r>
        <w:t xml:space="preserve">10. Accompagnement post-formation</w:t>
      </w:r>
    </w:p>
    <w:p>
      <w:pPr>
        <w:spacing w:after="120"/>
      </w:pPr>
      <w:r>
        <w:t xml:space="preserve">L'accompagnement TransferAI ne s'arrête pas à la salle de formation. Les personnes et équipes formées gardent un accès gratuit à la communauté TransferAI, où elles peuvent partager des cas réels, poser des questions d'exécution et recevoir des conseils pratiques. Cet accompagnement aide à transformer la formation en usage concret, puis en preuve d'impact.</w:t>
      </w:r>
    </w:p>
    <w:p>
      <w:pPr>
        <w:pStyle w:val="Heading1"/>
      </w:pPr>
      <w:r>
        <w:t xml:space="preserve">11. Accompagnement 90 jours</w:t>
      </w:r>
    </w:p>
    <w:p>
      <w:pPr>
        <w:spacing w:after="120"/>
      </w:pPr>
      <w:r>
        <w:t xml:space="preserve">Après la formation, TransferAI reste engagé pendant 90 jours pour consolider les usages, répondre aux blocages et sécuriser l'adoption : points de suivi réguliers, permanence questions/réponses, revue des premiers cas traités, ajustement des trames et prompts, lecture des premiers KPI, puis arbitrage sur la suite entre pilote, extension ou réajustement.</w:t>
      </w:r>
    </w:p>
    <w:p>
      <w:pPr>
        <w:spacing w:after="120"/>
      </w:pPr>
      <w:r>
        <w:rPr>
          <w:i/>
          <w:iCs/>
          <w:color w:val="516072"/>
        </w:rPr>
        <w:t xml:space="preserve">Une structure de formation classique transmet un contenu. TransferAI forme, puis accompagne l'usage, la mise en pratique, la gouvernance et la montée en impact.</w:t>
      </w:r>
    </w:p>
    <w:p>
      <w:pPr>
        <w:pStyle w:val="Heading1"/>
      </w:pPr>
      <w:r>
        <w:t xml:space="preserve">12. Proposition immédiate</w:t>
      </w:r>
    </w:p>
    <w:p>
      <w:pPr>
        <w:spacing w:after="120"/>
      </w:pPr>
      <w:r>
        <w:t xml:space="preserve">Planifier un audit IA gratuit centré sur la Direction des Systèmes d'Information et les processus de production prioritaires, suivi d'un échange expert de 45 minutes.</w:t>
      </w:r>
    </w:p>
    <w:p>
      <w:pPr>
        <w:pBdr>
          <w:top w:val="single" w:color="D9D3CC" w:sz="6" w:space="4"/>
        </w:pBdr>
        <w:spacing w:after="100" w:before="400"/>
      </w:pPr>
      <w:r>
        <w:t xml:space="preserve"/>
      </w:r>
    </w:p>
    <w:p>
      <w:pPr>
        <w:spacing w:after="20"/>
      </w:pPr>
      <w:r>
        <w:rPr>
          <w:b/>
          <w:bCs/>
          <w:color w:val="10263F"/>
        </w:rPr>
        <w:t xml:space="preserve">Casimir Kassi Beda</w:t>
      </w:r>
    </w:p>
    <w:p>
      <w:pPr>
        <w:spacing w:after="120"/>
      </w:pPr>
      <w:r>
        <w:rPr>
          <w:color w:val="516072"/>
          <w:sz w:val="18"/>
          <w:szCs w:val="18"/>
        </w:rPr>
        <w:t xml:space="preserve">Directeur Général</w:t>
      </w:r>
    </w:p>
    <w:p>
      <w:pPr>
        <w:spacing w:after="20"/>
      </w:pPr>
      <w:r>
        <w:rPr>
          <w:b/>
          <w:bCs/>
          <w:color w:val="10263F"/>
        </w:rPr>
        <w:t xml:space="preserve">Marius Ayoro</w:t>
      </w:r>
    </w:p>
    <w:p>
      <w:pPr>
        <w:spacing w:after="20"/>
      </w:pPr>
      <w:r>
        <w:rPr>
          <w:color w:val="516072"/>
          <w:sz w:val="18"/>
          <w:szCs w:val="18"/>
        </w:rPr>
        <w:t xml:space="preserve">Directeur Développement &amp; Partenariats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3CC" w:sz="4" w:space="4"/>
      </w:pBdr>
    </w:pPr>
    <w:r>
      <w:rPr>
        <w:color w:val="516072"/>
        <w:sz w:val="14"/>
        <w:szCs w:val="14"/>
      </w:rPr>
      <w:t xml:space="preserve">TransferAI | Hub IA de Nettelecom CI | contact@transferai.ci | www.transferai.ci | +225 07 16 57 39 90 | Riviera 3, carrefour Sainte Famille, Abidjan</w:t>
    </w:r>
  </w:p>
  <w:p>
    <w:pPr>
      <w:jc w:val="right"/>
    </w:pPr>
    <w:r>
      <w:rPr>
        <w:color w:val="516072"/>
        <w:sz w:val="14"/>
        <w:szCs w:val="14"/>
      </w:rPr>
      <w:t xml:space="preserve">Page </w:t>
    </w:r>
    <w:r>
      <w:rPr>
        <w:color w:val="516072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076325" cy="476250"/>
          <wp:effectExtent t="0" r="0" b="0" l="0"/>
          <wp:docPr id="1" name="logo" descr="Logo" title="TransferAI x Nettele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6724" w:sz="6" w:space="4"/>
      </w:pBdr>
      <w:spacing w:after="180" w:before="360"/>
      <w:outlineLvl w:val="0"/>
    </w:pPr>
    <w:rPr>
      <w:rFonts w:ascii="Arial" w:cs="Arial" w:eastAsia="Arial" w:hAnsi="Arial"/>
      <w:b/>
      <w:bCs/>
      <w:color w:val="1026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D667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64d76f78d87d9c09756a902a6ee31e79f967c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2026-07-08T00:21:04.939Z</dcterms:created>
  <dcterms:modified xsi:type="dcterms:W3CDTF">2026-07-08T00:21:04.939Z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