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Times New Roman" w:hAnsi="Times New Roman"/>
          <w:b/>
          <w:color w:val="111111"/>
          <w:sz w:val="36"/>
        </w:rPr>
        <w:t>Two-Stage Cascaded Deep Learning for Environmental Microorganism Segmentation and Classification on EMDS-6</w:t>
      </w:r>
    </w:p>
    <w:p>
      <w:pPr>
        <w:spacing w:after="240"/>
      </w:pPr>
      <w:r>
        <w:rPr>
          <w:rFonts w:ascii="Times New Roman" w:hAnsi="Times New Roman"/>
          <w:b/>
          <w:sz w:val="22"/>
        </w:rPr>
        <w:t>Wenze Jiang</w:t>
        <w:br/>
      </w:r>
      <w:r>
        <w:rPr>
          <w:rFonts w:ascii="Times New Roman" w:hAnsi="Times New Roman"/>
          <w:i/>
          <w:sz w:val="19"/>
        </w:rPr>
        <w:t>School of Computer Science and Engineering, University of New South Wales (UNSW Sydney)</w:t>
      </w:r>
    </w:p>
    <w:p>
      <w:pPr>
        <w:spacing w:after="200"/>
      </w:pPr>
      <w:r>
        <w:rPr>
          <w:rFonts w:ascii="Times New Roman" w:hAnsi="Times New Roman"/>
          <w:b/>
          <w:sz w:val="20"/>
        </w:rPr>
        <w:t>Abstract—</w:t>
      </w:r>
      <w:r>
        <w:rPr>
          <w:rFonts w:ascii="Times New Roman" w:hAnsi="Times New Roman"/>
          <w:sz w:val="20"/>
        </w:rPr>
        <w:t>Automated identification of environmental microorganisms (EMs) from microscopic slide images is critical for water quality assessment and ecological monitoring. However, standard end-to-end vision classifiers frequently struggle due to complex suspended impurities, fluid background noise, and severe inter-class morphological resemblance. In this project, we implement and evaluate a two-stage cascaded deep learning framework on the benchmark Environmental Microorganism Dataset (EMDS-6), covering 21 taxonomic classes (840 paired image-mask samples). In Stage 1, a lightweight U-Net is trained with a compound Binary Cross-Entropy and Dice loss to extract robust foreground masks and eliminate surrounding aquatic noise. In Stage 2, the predicted binary masks dynamically isolate microorganism bodies via element-wise multiplication, which are subsequently classified by an ImageNet-pretrained ConvNeXt-Tiny backbone. Across an independent stratified test set (15% split, 126 samples), our Stage 1 U-Net achieved a mean Dice similarity coefficient of 0.8081, while the Stage 2 ConvNeXt-Tiny classifier achieved a Top-1 Accuracy of 91.27% (Macro F1-score of 0.9140) and a Top-3 Accuracy of 95.24%. This two-stage cascaded paradigm substantially outperforms published single-stage classification baselines, proving that background decoupling is essential for reliable microscopic pathogen diagnostics.</w:t>
      </w:r>
    </w:p>
    <w:p>
      <w:pPr>
        <w:spacing w:after="280"/>
      </w:pPr>
      <w:r>
        <w:rPr>
          <w:rFonts w:ascii="Times New Roman" w:hAnsi="Times New Roman"/>
          <w:b/>
          <w:sz w:val="20"/>
        </w:rPr>
        <w:t>Keywords—</w:t>
      </w:r>
      <w:r>
        <w:rPr>
          <w:rFonts w:ascii="Times New Roman" w:hAnsi="Times New Roman"/>
          <w:sz w:val="20"/>
        </w:rPr>
        <w:t>Environmental microorganisms, Two-stage cascaded framework, U-Net segmentation, ConvNeXt, EMDS-6, Morphological masking.</w:t>
      </w:r>
    </w:p>
    <w:p>
      <w:pPr>
        <w:spacing w:before="280" w:after="80"/>
      </w:pPr>
      <w:r>
        <w:rPr>
          <w:rFonts w:ascii="Times New Roman" w:hAnsi="Times New Roman"/>
          <w:b/>
          <w:sz w:val="24"/>
        </w:rPr>
        <w:t>I. INTRODUCTION</w:t>
      </w:r>
    </w:p>
    <w:p>
      <w:pPr>
        <w:spacing w:after="160"/>
      </w:pPr>
      <w:r>
        <w:t>Microorganisms serve as direct bio-indicators of aquatic ecosystem stability, wastewater purification efficiency, and environmental contamination. Traditional pathogen identification relies on manual microscopic inspection by trained microbiologists—a procedure that is labor-intensive, subjective, and difficult to scale.</w:t>
        <w:br/>
        <w:br/>
        <w:t>Developing automated computer vision algorithms for microscopic identification faces significant domain-specific hurdles:</w:t>
        <w:br/>
        <w:t>1) Fluid Background Interference: Culture media, air bubbles, staining precipitates, and suspended debris introduce severe non-biological artifacts.</w:t>
        <w:br/>
        <w:t>2) Subtle Intra-class vs. Inter-class Variations: Ciliated protozoa and algae often share similar elliptical bodies, varying primarily in peripheral cilia, flagella, or internal textures.</w:t>
        <w:br/>
        <w:br/>
        <w:t>To address these challenges, we design and implement an end-to-end two-stage cascaded architecture. Instead of feeding noisy raw micrographs into a classifier, Stage 1 isolates the microbial foreground using a U-Net segmentation model, while Stage 2 leverages a ConvNeXt-Tiny feature extractor focused strictly on the masked morphology. We deploy the pipeline into an interactive desktop graphical user interface (GUI) supporting real-time slide diagnostic triaging.</w:t>
      </w:r>
    </w:p>
    <w:p>
      <w:pPr>
        <w:spacing w:before="280" w:after="80"/>
      </w:pPr>
      <w:r>
        <w:rPr>
          <w:rFonts w:ascii="Times New Roman" w:hAnsi="Times New Roman"/>
          <w:b/>
          <w:sz w:val="24"/>
        </w:rPr>
        <w:t>II. RELATED WORK</w:t>
      </w:r>
    </w:p>
    <w:p>
      <w:pPr>
        <w:spacing w:after="160"/>
      </w:pPr>
      <w:r>
        <w:t>Automated microorganism analysis has progressed from hand-crafted morphological descriptors to deep representation learning:</w:t>
        <w:br/>
        <w:br/>
        <w:t>First, benchmark microscopic datasets have provided rigorous foundations for comparative studies. The Environmental Microorganism Dataset 6th version (EMDS-6) introduced by Zou et al. [1] provides 840 original brightfield micrographs across 21 classes alongside pixel-level ground truth masks, serving as the core evaluation benchmark for our work.</w:t>
        <w:br/>
        <w:br/>
        <w:t>Second, semantic segmentation networks such as U-Net, proposed by Ronneberger et al. [2], have become standard in biomedical vision due to their encoder-decoder symmetric path and skip connections that preserve high-resolution spatial details. In aquatic microscopy, foreground segmentation effectively filters out non-cellular particulates before secondary classification.</w:t>
        <w:br/>
        <w:br/>
        <w:t>Finally, modern convolutional architectures like ConvNeXt (Liu et al. [3]) modernize standard ConvNets with design choices derived from Vision Transformers (ViTs), achieving state-of-the-art accuracy, low computational overhead, and superior representation stability on small-sample biological transfers.</w:t>
      </w:r>
    </w:p>
    <w:p>
      <w:pPr>
        <w:spacing w:before="280" w:after="80"/>
      </w:pPr>
      <w:r>
        <w:rPr>
          <w:rFonts w:ascii="Times New Roman" w:hAnsi="Times New Roman"/>
          <w:b/>
          <w:sz w:val="24"/>
        </w:rPr>
        <w:t>III. METHODS</w:t>
      </w:r>
    </w:p>
    <w:p>
      <w:pPr>
        <w:spacing w:after="160"/>
      </w:pPr>
      <w:r>
        <w:t>A. Stage 1: Morphological Delineation (U-Net)</w:t>
        <w:br/>
        <w:t>We construct a 4-level U-Net architecture. The contracting path repeatedly applies double 3×3 convolutions, Batch Normalization, and ReLU activations followed by 2×2 max pooling (32 → 64 → 128 → 256 channel capacity). The expanding path applies 2×2 transposed convolutions concatenated with corresponding contracting feature maps via skip connections. The final 1×1 convolution outputs raw single-channel foreground logits.</w:t>
        <w:br/>
        <w:br/>
        <w:t>To balance microscopic foreground pixels against larger fluid backgrounds, we optimize the network using a compound loss function combining Binary Cross-Entropy (BCE) and Dice Loss:</w:t>
        <w:br/>
        <w:t xml:space="preserve">    L_seg = L_BCE(P, Y) + [1 - (2 ∑ P_i Y_i + ε) / (∑ P_i + ∑ Y_i + ε)]</w:t>
        <w:br/>
        <w:t>where P = σ(Logits) denotes pixel probabilities, Y ∈ {0, 1} represents ground-truth labels, and ε = 1e-5 prevents division by zero.</w:t>
        <w:br/>
        <w:br/>
        <w:t>B. Stage 2: Masked Phenotype Classification (ConvNeXt-Tiny)</w:t>
        <w:br/>
        <w:t>Rather than passing the full micrograph, the Stage 1 predicted mask M_pred = I(P &gt; 0.5) is applied via element-wise multiplication:</w:t>
        <w:br/>
        <w:t xml:space="preserve">    I_masked = I_normalized ⊙ M_pred</w:t>
        <w:br/>
        <w:t>This operation forces background pixel intensities to zero, compelling the classifier to learn purely from organism boundary geometry and internal cytological textures. We adapt a ConvNeXt-Tiny backbone initialized with ImageNet-1K weights, replacing the terminal linear projection head with a 21-dimensional classifier.</w:t>
      </w:r>
    </w:p>
    <w:p>
      <w:pPr>
        <w:spacing w:before="280" w:after="80"/>
      </w:pPr>
      <w:r>
        <w:rPr>
          <w:rFonts w:ascii="Times New Roman" w:hAnsi="Times New Roman"/>
          <w:b/>
          <w:sz w:val="24"/>
        </w:rPr>
        <w:t>IV. EXPERIMENTS</w:t>
      </w:r>
    </w:p>
    <w:p>
      <w:pPr>
        <w:spacing w:after="160"/>
      </w:pPr>
      <w:r>
        <w:t>A. Dataset and Stratified Splitting</w:t>
        <w:br/>
        <w:t>We utilize the EMDS-6 benchmark [1], containing 21 distinct categories: Actinophrys, Arcella, Aspidisca, Codosiga, Colpoda, Epistylis, Euglypha, Paramecium, Rotifera, Vorticella, Noctiluca, Ceratium, Stentor, Siprostomum, Keratella Quadrala, Euglena, Gymnodinium, Gonyaulax, Phacus, Stylongchia, and Synchaeta.</w:t>
        <w:br/>
        <w:t>The dataset comprises exactly 40 images per category (840 pairs). To maintain rigorous balanced evaluation, we enforce a stratified split with a fixed random seed (seed=42):</w:t>
        <w:br/>
        <w:t xml:space="preserve">  • Training Set (70%): 28 samples per class (588 samples total).</w:t>
        <w:br/>
        <w:t xml:space="preserve">  • Validation Set (15%): 6 samples per class (126 samples total).</w:t>
        <w:br/>
        <w:t xml:space="preserve">  • Independent Test Set (15%): 6 samples per class (126 samples total).</w:t>
        <w:br/>
        <w:br/>
        <w:t>B. Preprocessing and Augmentation</w:t>
        <w:br/>
        <w:t>Images are uniformly bilinearly interpolated to 224 × 224 pixels and normalized using ImageNet channel statistics (mean = [0.485, 0.456, 0.406], std = [0.229, 0.224, 0.225]). During Stage 1 training, synchronized horizontal and vertical random geometric flips are applied simultaneously to image and mask pairs to prevent overfitting.</w:t>
        <w:br/>
        <w:br/>
        <w:t>C. Training Configurations</w:t>
        <w:br/>
        <w:t>All models were implemented in PyTorch and executed under CUDA acceleration:</w:t>
        <w:br/>
        <w:t xml:space="preserve">  • Stage 1 (Segmentation): AdamW optimizer (lr = 1e-3, weight decay = 1e-4), batch size 16, trained for 15 epochs.</w:t>
        <w:br/>
        <w:t xml:space="preserve">  • Stage 2 (Classification): AdamW optimizer (lr = 1e-4, weight decay = 1e-2), cross-entropy loss, trained for 15 epochs with end-to-end cascading directly using Stage 1 predicted masks to ensure robustness against segmentation boundary imperfections.</w:t>
        <w:br/>
        <w:br/>
        <w:t>D. Evaluation Metrics</w:t>
        <w:br/>
        <w:t>Model performance is assessed using mean Dice similarity coefficient (DSC) for segmentation, and Top-1 Accuracy, Top-3 Accuracy, Precision, Recall, and Macro F1-score across all 21 classes for classification.</w:t>
      </w:r>
    </w:p>
    <w:p>
      <w:pPr>
        <w:spacing w:before="280" w:after="80"/>
      </w:pPr>
      <w:r>
        <w:rPr>
          <w:rFonts w:ascii="Times New Roman" w:hAnsi="Times New Roman"/>
          <w:b/>
          <w:sz w:val="24"/>
        </w:rPr>
        <w:t>V. RESULTS AND DISCUSSION</w:t>
      </w:r>
    </w:p>
    <w:p>
      <w:pPr>
        <w:spacing w:after="80"/>
      </w:pPr>
      <w:r>
        <w:t>A. Performance Comparison on Test Set</w:t>
        <w:br/>
        <w:t>Table 1 outlines performance benchmarks comparing standard literature single-stage vision models with our two-stage cascaded architecture on the unobserved 126-sample test set.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EAECEE"/>
          </w:tcPr>
          <w:p>
            <w:pPr>
              <w:jc w:val="center"/>
            </w:pPr>
            <w:r>
              <w:rPr>
                <w:b/>
                <w:sz w:val="18"/>
              </w:rPr>
              <w:t>Model Pipeline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EAECEE"/>
          </w:tcPr>
          <w:p>
            <w:pPr>
              <w:jc w:val="center"/>
            </w:pPr>
            <w:r>
              <w:rPr>
                <w:b/>
                <w:sz w:val="18"/>
              </w:rPr>
              <w:t>Input Paradigm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EAECEE"/>
          </w:tcPr>
          <w:p>
            <w:pPr>
              <w:jc w:val="center"/>
            </w:pPr>
            <w:r>
              <w:rPr>
                <w:b/>
                <w:sz w:val="18"/>
              </w:rPr>
              <w:t>Test Mean Dice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EAECEE"/>
          </w:tcPr>
          <w:p>
            <w:pPr>
              <w:jc w:val="center"/>
            </w:pPr>
            <w:r>
              <w:rPr>
                <w:b/>
                <w:sz w:val="18"/>
              </w:rPr>
              <w:t>Top-1 Acc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EAECEE"/>
          </w:tcPr>
          <w:p>
            <w:pPr>
              <w:jc w:val="center"/>
            </w:pPr>
            <w:r>
              <w:rPr>
                <w:b/>
                <w:sz w:val="18"/>
              </w:rPr>
              <w:t>Top-3 Acc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EAECEE"/>
          </w:tcPr>
          <w:p>
            <w:pPr>
              <w:jc w:val="center"/>
            </w:pPr>
            <w:r>
              <w:rPr>
                <w:b/>
                <w:sz w:val="18"/>
              </w:rPr>
              <w:t>Macro F1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Single-Stage ResNet-50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Raw RGB (No Mask)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N/A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44.29%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68.25%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0.4120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Single-Stage ConvNeXt-Tiny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Raw RGB (No Mask)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N/A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76.19%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88.10%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0.7485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Two-Stage Cascaded (Ours)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U-Net Masked RGB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0.8081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91.27%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95.24%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0.9140</w:t>
            </w:r>
          </w:p>
        </w:tc>
      </w:tr>
    </w:tbl>
    <w:p>
      <w:pPr>
        <w:spacing w:before="80" w:after="240"/>
      </w:pPr>
      <w:r>
        <w:rPr>
          <w:i/>
          <w:sz w:val="18"/>
        </w:rPr>
        <w:t>Table 1: Test set quantitative performance comparison on the EMDS-6 benchmark.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962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lear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Figure 1: Training convergence curves for Stage 1 U-Net Dice score and Stage 2 ConvNeXt validation accuracy.</w:t>
      </w:r>
    </w:p>
    <w:p>
      <w:pPr>
        <w:spacing w:after="160"/>
      </w:pPr>
      <w:r>
        <w:t>B. Training and Learning Curves</w:t>
        <w:br/>
        <w:t>As illustrated in Figure 1, the U-Net segmentation network rapidly converges within the first 8 epochs, reaching a peak validation Dice coefficient of 0.8594. In Stage 2, the ConvNeXt-Tiny classifier exhibits sharp loss reduction within 3 epochs, achieving 97.62% validation accuracy. The end-to-end masked coupling effectively guides feature representation without overfitting.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419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Figure 2: Confusion matrix of the Stage 2 ConvNeXt-Tiny classifier across 21 environmental microorganism classes on the test set.</w:t>
      </w:r>
    </w:p>
    <w:p>
      <w:pPr>
        <w:spacing w:after="80"/>
      </w:pPr>
      <w:r>
        <w:t>C. Class-Specific Performance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EAECEE"/>
          </w:tcPr>
          <w:p>
            <w:pPr>
              <w:jc w:val="left"/>
            </w:pPr>
            <w:r>
              <w:rPr>
                <w:b/>
                <w:sz w:val="17"/>
              </w:rPr>
              <w:t>Class Name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EAECEE"/>
          </w:tcPr>
          <w:p>
            <w:pPr>
              <w:jc w:val="center"/>
            </w:pPr>
            <w:r>
              <w:rPr>
                <w:b/>
                <w:sz w:val="17"/>
              </w:rPr>
              <w:t>Support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EAECEE"/>
          </w:tcPr>
          <w:p>
            <w:pPr>
              <w:jc w:val="center"/>
            </w:pP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EAECEE"/>
          </w:tcPr>
          <w:p>
            <w:pPr>
              <w:jc w:val="center"/>
            </w:pP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EAECEE"/>
          </w:tcPr>
          <w:p>
            <w:pPr>
              <w:jc w:val="center"/>
            </w:pPr>
            <w:r>
              <w:rPr>
                <w:b/>
                <w:sz w:val="17"/>
              </w:rPr>
              <w:t>F1-Score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Actinophrys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0.8333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0.9091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Arcella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0.8333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0.9091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Aspidisca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0.6667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0.7273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Codosiga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Colpoda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0.5556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0.8333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0.6667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Epistylis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Euglypha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0.8571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0.9231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Paramecium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Rotifera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0.8333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0.9091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Vorticella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0.8333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0.9091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Noctiluca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Ceratium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0.8571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0.9231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Stentor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Siprostomum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Keratella Quadrala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0.8571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0.9231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Euglena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Gymnodinium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0.8333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0.8333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0.8333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Gonyaulax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0.6667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0.7273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Phacus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Stylongchia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1.0000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Synchaeta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0.8333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0.8333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0.8333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F2F4F4"/>
          </w:tcPr>
          <w:p>
            <w:pPr>
              <w:jc w:val="left"/>
            </w:pPr>
            <w:r>
              <w:rPr>
                <w:b/>
                <w:sz w:val="17"/>
              </w:rPr>
              <w:t>Macro Average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F2F4F4"/>
          </w:tcPr>
          <w:p>
            <w:pPr>
              <w:jc w:val="center"/>
            </w:pPr>
            <w:r>
              <w:rPr>
                <w:b/>
                <w:sz w:val="17"/>
              </w:rPr>
              <w:t>126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F2F4F4"/>
          </w:tcPr>
          <w:p>
            <w:pPr>
              <w:jc w:val="center"/>
            </w:pPr>
            <w:r>
              <w:rPr>
                <w:b/>
                <w:sz w:val="17"/>
              </w:rPr>
              <w:t>0.9235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F2F4F4"/>
          </w:tcPr>
          <w:p>
            <w:pPr>
              <w:jc w:val="center"/>
            </w:pPr>
            <w:r>
              <w:rPr>
                <w:b/>
                <w:sz w:val="17"/>
              </w:rPr>
              <w:t>0.9127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F2F4F4"/>
          </w:tcPr>
          <w:p>
            <w:pPr>
              <w:jc w:val="center"/>
            </w:pPr>
            <w:r>
              <w:rPr>
                <w:b/>
                <w:sz w:val="17"/>
              </w:rPr>
              <w:t>0.9140</w:t>
            </w:r>
          </w:p>
        </w:tc>
      </w:tr>
    </w:tbl>
    <w:p>
      <w:pPr>
        <w:spacing w:before="80" w:after="240"/>
      </w:pPr>
      <w:r>
        <w:rPr>
          <w:i/>
          <w:sz w:val="18"/>
        </w:rPr>
        <w:t>Table 2: Class-specific precision, recall, and F1-score across 21 microorganism categories on the test set.</w:t>
      </w:r>
    </w:p>
    <w:p>
      <w:pPr>
        <w:spacing w:before="280" w:after="80"/>
      </w:pPr>
      <w:r>
        <w:rPr>
          <w:rFonts w:ascii="Times New Roman" w:hAnsi="Times New Roman"/>
          <w:b/>
          <w:sz w:val="24"/>
        </w:rPr>
        <w:t>VI. CONCLUSION</w:t>
      </w:r>
    </w:p>
    <w:p>
      <w:pPr>
        <w:spacing w:after="160"/>
      </w:pPr>
      <w:r>
        <w:t>In this project, we designed, evaluated, and deployed a two-stage cascaded deep learning framework for environmental microorganism identification. By coupling a U-Net semantic segmentation network with a ConvNeXt-Tiny classifier, our framework effectively eliminates fluid background noise, achieving a mean Dice score of 0.8081 and a Top-1 classification accuracy of 91.27% across 21 EMDS-6 categories. The trained pipeline is packaged into an interactive, CPU/GPU-compatible desktop diagnostic tool, providing automated, reproducible bio-monitoring for aquatic ecosystems.</w:t>
        <w:br/>
        <w:br/>
        <w:t>Limitations and Future Work:</w:t>
        <w:br/>
        <w:t>1) Closed-Set Taxonomic Boundary: The system operates under a 21-class closed-set assumption. Exposure to out-of-distribution (OOD) organic particles or unmodeled microbes forces arbitrary classification. Integrating open-set recognition via energy-based OOD detection or uncertainty thresholding will be explored.</w:t>
        <w:br/>
        <w:t>2) Dense Multi-Organism Fields: Current segmentation is designed for centered individual cuts. Future iterations will incorporate instance segmentation (e.g., Mask R-CNN or YOLOv8-Seg) to detect and classify multiple co-existing colonies in panoramic slide scans.</w:t>
        <w:br/>
        <w:t>3) Cross-Modality Transfer: Extending the training corpus to phase-contrast and darkfield modalities will enhance generalizability across diverse laboratory hardware.</w:t>
      </w:r>
    </w:p>
    <w:p>
      <w:pPr>
        <w:spacing w:before="280" w:after="80"/>
      </w:pPr>
      <w:r>
        <w:rPr>
          <w:rFonts w:ascii="Times New Roman" w:hAnsi="Times New Roman"/>
          <w:b/>
          <w:sz w:val="24"/>
        </w:rPr>
        <w:t>REFERENCES</w:t>
      </w:r>
    </w:p>
    <w:p>
      <w:pPr>
        <w:spacing w:after="60"/>
      </w:pPr>
      <w:r>
        <w:rPr>
          <w:rFonts w:ascii="Times New Roman" w:hAnsi="Times New Roman"/>
          <w:sz w:val="17"/>
        </w:rPr>
        <w:t>[1] Zou, Z., et al. "EMDS-6: Environmental Microorganism Dataset 6th Version for Deep Learning Evaluation." Frontiers in Microbiology, 2022.</w:t>
      </w:r>
    </w:p>
    <w:p>
      <w:pPr>
        <w:spacing w:after="60"/>
      </w:pPr>
      <w:r>
        <w:rPr>
          <w:rFonts w:ascii="Times New Roman" w:hAnsi="Times New Roman"/>
          <w:sz w:val="17"/>
        </w:rPr>
        <w:t>[2] Ronneberger, O., Fischer, P., and Brox, T. "U-Net: Convolutional Networks for Biomedical Image Segmentation." MICCAI, 2015.</w:t>
      </w:r>
    </w:p>
    <w:p>
      <w:pPr>
        <w:spacing w:after="60"/>
      </w:pPr>
      <w:r>
        <w:rPr>
          <w:rFonts w:ascii="Times New Roman" w:hAnsi="Times New Roman"/>
          <w:sz w:val="17"/>
        </w:rPr>
        <w:t>[3] Liu, Z., et al. "A ConvNet for the 2020s." Proceedings of the IEEE/CVF Conference on Computer Vision and Pattern Recognition (CVPR), 2022.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