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0CBD2" w14:textId="77777777" w:rsidR="00E77400" w:rsidRDefault="00000000">
      <w:pPr>
        <w:spacing w:after="240"/>
      </w:pPr>
      <w:r>
        <w:rPr>
          <w:b/>
          <w:color w:val="1A73E8"/>
          <w:sz w:val="44"/>
        </w:rPr>
        <w:t>User Manual: Environmental Microorganism Two-Stage Intelligent Analysis System</w:t>
      </w:r>
    </w:p>
    <w:p w14:paraId="1D27F029" w14:textId="77777777" w:rsidR="00E77400" w:rsidRDefault="00000000">
      <w:pPr>
        <w:pStyle w:val="1"/>
        <w:spacing w:before="280" w:after="120"/>
      </w:pPr>
      <w:r>
        <w:t>1. Overview</w:t>
      </w:r>
    </w:p>
    <w:p w14:paraId="20352991" w14:textId="77777777" w:rsidR="00E77400" w:rsidRDefault="00000000">
      <w:r>
        <w:t>This software is a two-stage cascaded deep learning application designed for the automated segmentation and taxonomic classification of environmental microorganisms (EMs) from microscopic slide images, benchmarked on the EMDS-6 dataset.</w:t>
      </w:r>
    </w:p>
    <w:p w14:paraId="32885CE5" w14:textId="77777777" w:rsidR="00E77400" w:rsidRDefault="00000000">
      <w:pPr>
        <w:pStyle w:val="a0"/>
      </w:pPr>
      <w:r>
        <w:rPr>
          <w:b/>
        </w:rPr>
        <w:t xml:space="preserve">Stage 1 (Segmentation): </w:t>
      </w:r>
      <w:r>
        <w:t>A U-Net architecture extracts the organism's morphological boundaries and filters out background noise, debris, and fluid impurities.</w:t>
      </w:r>
    </w:p>
    <w:p w14:paraId="34608007" w14:textId="77777777" w:rsidR="00E77400" w:rsidRDefault="00000000">
      <w:pPr>
        <w:pStyle w:val="a0"/>
      </w:pPr>
      <w:r>
        <w:rPr>
          <w:b/>
        </w:rPr>
        <w:t xml:space="preserve">Stage 2 (Classification): </w:t>
      </w:r>
      <w:r>
        <w:t>A ConvNeXt-Tiny classifier processes the masked foreground region to predict the taxonomic class along with Top-3 probability confidence scores.</w:t>
      </w:r>
    </w:p>
    <w:p w14:paraId="751C6747" w14:textId="77777777" w:rsidR="00E77400" w:rsidRDefault="00000000">
      <w:pPr>
        <w:pStyle w:val="1"/>
        <w:spacing w:before="280" w:after="120"/>
      </w:pPr>
      <w:r>
        <w:t>2. Directory Structure &amp; Execution Prerequisite</w:t>
      </w:r>
    </w:p>
    <w:p w14:paraId="5DB30DB8" w14:textId="77777777" w:rsidR="00E77400" w:rsidRDefault="00000000">
      <w:pPr>
        <w:spacing w:after="120"/>
      </w:pPr>
      <w:r>
        <w:rPr>
          <w:b/>
          <w:color w:val="D93025"/>
        </w:rPr>
        <w:t xml:space="preserve">CRITICAL REQUIREMENT: </w:t>
      </w:r>
      <w:r>
        <w:t>The execution script and the pre-trained model weights must reside in the same working directory.</w:t>
      </w:r>
    </w:p>
    <w:p w14:paraId="392240A8" w14:textId="77777777" w:rsidR="00E77400" w:rsidRDefault="00000000">
      <w:r>
        <w:t>Ensure your directory contains the following files before launching:</w:t>
      </w:r>
    </w:p>
    <w:p w14:paraId="72174DB0" w14:textId="77777777" w:rsidR="00E77400" w:rsidRDefault="00000000">
      <w:pPr>
        <w:ind w:left="576"/>
      </w:pPr>
      <w:r>
        <w:rPr>
          <w:rFonts w:ascii="Consolas" w:hAnsi="Consolas"/>
          <w:sz w:val="19"/>
        </w:rPr>
        <w:t>├── run_app.py              # Main desktop application script</w:t>
      </w:r>
      <w:r>
        <w:rPr>
          <w:rFonts w:ascii="Consolas" w:hAnsi="Consolas"/>
          <w:sz w:val="19"/>
        </w:rPr>
        <w:br/>
        <w:t>├── best_seg_unet.pth       # Trained Stage 1 U-Net model weights</w:t>
      </w:r>
      <w:r>
        <w:rPr>
          <w:rFonts w:ascii="Consolas" w:hAnsi="Consolas"/>
          <w:sz w:val="19"/>
        </w:rPr>
        <w:br/>
        <w:t>└── best_cls_model.pth      # Trained Stage 2 ConvNeXt model weights</w:t>
      </w:r>
    </w:p>
    <w:p w14:paraId="030C3EEB" w14:textId="77777777" w:rsidR="00E77400" w:rsidRDefault="00000000">
      <w:pPr>
        <w:pStyle w:val="21"/>
      </w:pPr>
      <w:r>
        <w:t>Hardware Compatibility &amp; Execution</w:t>
      </w:r>
    </w:p>
    <w:p w14:paraId="07D67918" w14:textId="77777777" w:rsidR="00E77400" w:rsidRDefault="00000000">
      <w:pPr>
        <w:pStyle w:val="a0"/>
      </w:pPr>
      <w:r>
        <w:rPr>
          <w:b/>
        </w:rPr>
        <w:t xml:space="preserve">CUDA GPU Accelerated: </w:t>
      </w:r>
      <w:r>
        <w:t>Automatically engaged if an NVIDIA GPU with CUDA support is detected, delivering low-latency real-time inference.</w:t>
      </w:r>
    </w:p>
    <w:p w14:paraId="49F03848" w14:textId="77777777" w:rsidR="00E77400" w:rsidRDefault="00000000">
      <w:pPr>
        <w:pStyle w:val="a0"/>
      </w:pPr>
      <w:r>
        <w:rPr>
          <w:b/>
        </w:rPr>
        <w:t xml:space="preserve">CPU Compatible: </w:t>
      </w:r>
      <w:r>
        <w:t>If no compatible GPU is found, the system automatically redirects tensor operations to system memory and CPU cores via internal map_location remapping. No manual configuration is required.</w:t>
      </w:r>
    </w:p>
    <w:p w14:paraId="1FABF339" w14:textId="77777777" w:rsidR="00E77400" w:rsidRDefault="00000000">
      <w:r>
        <w:t>Launch command from your terminal or command prompt:</w:t>
      </w:r>
    </w:p>
    <w:p w14:paraId="229E8A6E" w14:textId="77777777" w:rsidR="00E77400" w:rsidRDefault="00000000">
      <w:pPr>
        <w:ind w:left="576"/>
      </w:pPr>
      <w:r>
        <w:rPr>
          <w:rFonts w:ascii="Consolas" w:hAnsi="Consolas"/>
          <w:b/>
        </w:rPr>
        <w:t>python run_app.py</w:t>
      </w:r>
    </w:p>
    <w:p w14:paraId="373164B2" w14:textId="77777777" w:rsidR="00E77400" w:rsidRDefault="00000000">
      <w:pPr>
        <w:pStyle w:val="1"/>
        <w:spacing w:before="280" w:after="120"/>
      </w:pPr>
      <w:r>
        <w:t>3. How to Use</w:t>
      </w:r>
    </w:p>
    <w:p w14:paraId="7CF0C61F" w14:textId="77777777" w:rsidR="00E77400" w:rsidRDefault="00000000">
      <w:r>
        <w:t>1. Launch the application. Verify that the bottom status bar displays 'System Ready' along with your active hardware device (CUDA or CPU).</w:t>
      </w:r>
    </w:p>
    <w:p w14:paraId="3BED7BB6" w14:textId="77777777" w:rsidR="00E77400" w:rsidRDefault="00000000">
      <w:r>
        <w:t>2. Click the blue 'Open Microscopic Image' button located at the top-right corner.</w:t>
      </w:r>
    </w:p>
    <w:p w14:paraId="20AFD70D" w14:textId="77777777" w:rsidR="00E77400" w:rsidRDefault="00000000">
      <w:r>
        <w:t>3. Select a supported microscopic image (.png, .jpg, .jpeg, .bmp, .tif).</w:t>
      </w:r>
    </w:p>
    <w:p w14:paraId="14D9D0B6" w14:textId="77777777" w:rsidR="00E77400" w:rsidRDefault="00000000">
      <w:r>
        <w:t>4. The system executes end-to-end inference and updates the three display panels:</w:t>
      </w:r>
    </w:p>
    <w:p w14:paraId="0328986F" w14:textId="77777777" w:rsidR="00E77400" w:rsidRDefault="00000000">
      <w:pPr>
        <w:pStyle w:val="a0"/>
        <w:ind w:left="576"/>
      </w:pPr>
      <w:r>
        <w:rPr>
          <w:b/>
        </w:rPr>
        <w:lastRenderedPageBreak/>
        <w:t xml:space="preserve">Panel 1 (Raw Input): </w:t>
      </w:r>
      <w:r>
        <w:t>Shows the original uploaded slide thumbnail.</w:t>
      </w:r>
    </w:p>
    <w:p w14:paraId="476C8449" w14:textId="77777777" w:rsidR="00E77400" w:rsidRDefault="00000000">
      <w:pPr>
        <w:pStyle w:val="a0"/>
        <w:ind w:left="576"/>
      </w:pPr>
      <w:r>
        <w:rPr>
          <w:b/>
        </w:rPr>
        <w:t xml:space="preserve">Panel 2 (Segmented Foreground): </w:t>
      </w:r>
      <w:r>
        <w:t>Displays the isolated organism with non-target background pixels set to zero (black).</w:t>
      </w:r>
    </w:p>
    <w:p w14:paraId="291BB393" w14:textId="77777777" w:rsidR="00E77400" w:rsidRDefault="00000000">
      <w:pPr>
        <w:pStyle w:val="a0"/>
        <w:ind w:left="576"/>
      </w:pPr>
      <w:r>
        <w:rPr>
          <w:b/>
        </w:rPr>
        <w:t xml:space="preserve">Panel 3 (Predictions &amp; Confidence): </w:t>
      </w:r>
      <w:r>
        <w:t>Displays the Top-1 to Top-3 predicted taxonomic names and visual confidence progress bars.</w:t>
      </w:r>
    </w:p>
    <w:p w14:paraId="26C4CAB9" w14:textId="77777777" w:rsidR="00E77400" w:rsidRDefault="00000000">
      <w:pPr>
        <w:pStyle w:val="1"/>
        <w:spacing w:before="280" w:after="120"/>
      </w:pPr>
      <w:r>
        <w:t>4. System Constraints &amp; Operational Boundaries</w:t>
      </w:r>
    </w:p>
    <w:p w14:paraId="66A1D726" w14:textId="77777777" w:rsidR="00E77400" w:rsidRDefault="00000000">
      <w:pPr>
        <w:pStyle w:val="21"/>
      </w:pPr>
      <w:r>
        <w:t>4.1. Closed-Set Classification Constraint (21 Predefined Classes)</w:t>
      </w:r>
    </w:p>
    <w:p w14:paraId="69C7B2A1" w14:textId="77777777" w:rsidR="00E77400" w:rsidRDefault="00000000">
      <w:pPr>
        <w:pStyle w:val="a0"/>
      </w:pPr>
      <w:r>
        <w:rPr>
          <w:b/>
        </w:rPr>
        <w:t xml:space="preserve">Predefined Target Scope: </w:t>
      </w:r>
      <w:r>
        <w:t>The model is trained strictly on the 21 microorganism categories provided by EMDS-6: Actinophrys, Arcella, Aspidisca, Codosiga, Colpoda, Epistylis, Euglypha, Paramecium, Rotifera, Vorticella, Noctiluca, Ceratium, Stentor, Siprostomum, Keratella Quadrala, Euglena, Gymnodinium, Gonyaulax, Phacus, Stylongchia, Synchaeta.</w:t>
      </w:r>
    </w:p>
    <w:p w14:paraId="2D1CC4EC" w14:textId="77777777" w:rsidR="00E77400" w:rsidRDefault="00000000">
      <w:pPr>
        <w:pStyle w:val="a0"/>
      </w:pPr>
      <w:r>
        <w:rPr>
          <w:b/>
        </w:rPr>
        <w:t xml:space="preserve">Out-of-Distribution (OOD) Behavior: </w:t>
      </w:r>
      <w:r>
        <w:t>The model uses a standard normalized Softmax output layer. If an unmodeled organism, sludge particle, or fiber fragment is provided, the system will still force a prediction into one of the 21 classes. A high confidence percentage for an unknown specimen indicates visual resemblance to a training category rather than true taxonomic identity.</w:t>
      </w:r>
    </w:p>
    <w:p w14:paraId="43BB63EE" w14:textId="77777777" w:rsidR="00E77400" w:rsidRDefault="00000000">
      <w:pPr>
        <w:pStyle w:val="21"/>
      </w:pPr>
      <w:r>
        <w:t>4.2. Image Resolution, Sharpness &amp; Depth-of-Field</w:t>
      </w:r>
    </w:p>
    <w:p w14:paraId="06F58545" w14:textId="77777777" w:rsidR="00E77400" w:rsidRDefault="00000000">
      <w:pPr>
        <w:pStyle w:val="a0"/>
      </w:pPr>
      <w:r>
        <w:rPr>
          <w:b/>
        </w:rPr>
        <w:t xml:space="preserve">Resolution: </w:t>
      </w:r>
      <w:r>
        <w:t>Input images should maintain a spatial resolution of at least 224 × 224 pixels. Low-resolution inputs risk detail loss during downsampling.</w:t>
      </w:r>
    </w:p>
    <w:p w14:paraId="14065972" w14:textId="77777777" w:rsidR="00E77400" w:rsidRDefault="00000000">
      <w:pPr>
        <w:pStyle w:val="a0"/>
      </w:pPr>
      <w:r>
        <w:rPr>
          <w:b/>
        </w:rPr>
        <w:t xml:space="preserve">Focal Plane &amp; Blur: </w:t>
      </w:r>
      <w:r>
        <w:t>Microscopic specimens possess volumetric depth. Images with severe out-of-focus blur, motion artifacts, or poor contrast will disrupt Stage 1 U-Net boundary delineation, directly degrading the downstream masked classification input.</w:t>
      </w:r>
    </w:p>
    <w:p w14:paraId="52A238CA" w14:textId="77777777" w:rsidR="00E77400" w:rsidRDefault="00000000">
      <w:pPr>
        <w:pStyle w:val="21"/>
      </w:pPr>
      <w:r>
        <w:t>4.3. Spatial Composition &amp; Multi-Target Density</w:t>
      </w:r>
    </w:p>
    <w:p w14:paraId="34697713" w14:textId="77777777" w:rsidR="00E77400" w:rsidRDefault="00000000">
      <w:pPr>
        <w:pStyle w:val="a0"/>
      </w:pPr>
      <w:r>
        <w:rPr>
          <w:b/>
        </w:rPr>
        <w:t xml:space="preserve">Single-Organism Centering: </w:t>
      </w:r>
      <w:r>
        <w:t>The pipeline is optimized for individual specimens situated near the center of the visual field (occupying roughly 30% to 80% of the frame).</w:t>
      </w:r>
    </w:p>
    <w:p w14:paraId="4D09D7A3" w14:textId="77777777" w:rsidR="00E77400" w:rsidRDefault="00000000">
      <w:pPr>
        <w:pStyle w:val="a0"/>
      </w:pPr>
      <w:r>
        <w:rPr>
          <w:b/>
        </w:rPr>
        <w:t xml:space="preserve">Crowded Fields / Aggregates: </w:t>
      </w:r>
      <w:r>
        <w:t>Images featuring dense clusters of multiple organisms or extensive bio-floc colonies will be extracted as a single contiguous foreground mask. This disrupts structural scale invariance and may cause misclassifications. In such cases, manually cropping the target individual prior to uploading is strongly advised.</w:t>
      </w:r>
    </w:p>
    <w:p w14:paraId="0DA269DA" w14:textId="77777777" w:rsidR="00E77400" w:rsidRDefault="00000000">
      <w:pPr>
        <w:pStyle w:val="21"/>
      </w:pPr>
      <w:r>
        <w:t>4.4. Microscopy Modality</w:t>
      </w:r>
    </w:p>
    <w:p w14:paraId="2AC3774F" w14:textId="77777777" w:rsidR="00E77400" w:rsidRDefault="00000000">
      <w:pPr>
        <w:pStyle w:val="a0"/>
      </w:pPr>
      <w:r>
        <w:rPr>
          <w:b/>
        </w:rPr>
        <w:t xml:space="preserve">Illumination Mode: </w:t>
      </w:r>
      <w:r>
        <w:t>The pre-trained weights were developed using standard optical brightfield RGB transmission microscopy.</w:t>
      </w:r>
    </w:p>
    <w:p w14:paraId="27C4E47F" w14:textId="14F2AE46" w:rsidR="00E34648" w:rsidRDefault="00000000">
      <w:pPr>
        <w:pStyle w:val="a0"/>
      </w:pPr>
      <w:r>
        <w:rPr>
          <w:b/>
        </w:rPr>
        <w:t xml:space="preserve">Unsupported Modalities: </w:t>
      </w:r>
      <w:r>
        <w:t>Distinct imaging modes such as fluorescence, darkfield, or differential interference contrast (DIC) feature inverted contrast and altered color spectra, which will undermine the statistical assumptions of the feature extractor.</w:t>
      </w:r>
    </w:p>
    <w:p w14:paraId="3D147C09" w14:textId="77777777" w:rsidR="00E34648" w:rsidRDefault="00E34648">
      <w:r>
        <w:br w:type="page"/>
      </w:r>
    </w:p>
    <w:p w14:paraId="25144047" w14:textId="36FE3B8B" w:rsidR="00E77400" w:rsidRDefault="00E34648" w:rsidP="00E34648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lastRenderedPageBreak/>
        <w:t xml:space="preserve">Outcome </w:t>
      </w:r>
      <w:r>
        <w:rPr>
          <w:rFonts w:eastAsia="宋体"/>
          <w:lang w:eastAsia="zh-CN"/>
        </w:rPr>
        <w:t>be like:</w:t>
      </w:r>
    </w:p>
    <w:p w14:paraId="5B972F6E" w14:textId="1A27948A" w:rsidR="00E34648" w:rsidRDefault="00E34648" w:rsidP="00E34648">
      <w:pPr>
        <w:pStyle w:val="a0"/>
        <w:numPr>
          <w:ilvl w:val="0"/>
          <w:numId w:val="0"/>
        </w:numPr>
        <w:ind w:left="360" w:hanging="360"/>
      </w:pPr>
      <w:r w:rsidRPr="00E34648">
        <w:drawing>
          <wp:inline distT="0" distB="0" distL="0" distR="0" wp14:anchorId="7B7A2C33" wp14:editId="5985A375">
            <wp:extent cx="5943600" cy="39471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0498" w14:textId="4B81CE5F" w:rsidR="00E34648" w:rsidRDefault="00E34648" w:rsidP="00E34648">
      <w:pPr>
        <w:pStyle w:val="a0"/>
        <w:numPr>
          <w:ilvl w:val="0"/>
          <w:numId w:val="0"/>
        </w:numPr>
        <w:ind w:left="360" w:hanging="360"/>
        <w:rPr>
          <w:rFonts w:hint="eastAsia"/>
        </w:rPr>
      </w:pPr>
      <w:r w:rsidRPr="00E34648">
        <w:drawing>
          <wp:inline distT="0" distB="0" distL="0" distR="0" wp14:anchorId="4DD70228" wp14:editId="56F84A8D">
            <wp:extent cx="5943600" cy="3962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64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975825">
    <w:abstractNumId w:val="8"/>
  </w:num>
  <w:num w:numId="2" w16cid:durableId="35204443">
    <w:abstractNumId w:val="6"/>
  </w:num>
  <w:num w:numId="3" w16cid:durableId="123275749">
    <w:abstractNumId w:val="5"/>
  </w:num>
  <w:num w:numId="4" w16cid:durableId="707726054">
    <w:abstractNumId w:val="4"/>
  </w:num>
  <w:num w:numId="5" w16cid:durableId="2127575093">
    <w:abstractNumId w:val="7"/>
  </w:num>
  <w:num w:numId="6" w16cid:durableId="417334821">
    <w:abstractNumId w:val="3"/>
  </w:num>
  <w:num w:numId="7" w16cid:durableId="1453936058">
    <w:abstractNumId w:val="2"/>
  </w:num>
  <w:num w:numId="8" w16cid:durableId="130826472">
    <w:abstractNumId w:val="1"/>
  </w:num>
  <w:num w:numId="9" w16cid:durableId="2047026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34648"/>
    <w:rsid w:val="00E77400"/>
    <w:rsid w:val="00F27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2323C"/>
  <w14:defaultImageDpi w14:val="300"/>
  <w15:docId w15:val="{0DF64B9E-BF90-4AFC-8F26-2EB11ABF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汶泽 蒋</cp:lastModifiedBy>
  <cp:revision>3</cp:revision>
  <cp:lastPrinted>2026-10-02T21:54:00Z</cp:lastPrinted>
  <dcterms:created xsi:type="dcterms:W3CDTF">2013-12-23T23:15:00Z</dcterms:created>
  <dcterms:modified xsi:type="dcterms:W3CDTF">2026-10-02T21:54:00Z</dcterms:modified>
  <cp:category/>
</cp:coreProperties>
</file>