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300788" cy="1162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51622" l="26910" r="27076" t="32743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0" w:right="2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right="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Arquitetura</w:t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Cafeteria </w:t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Leandro Ferreira do Nascimento Junior     -  156181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Weber Lopes Daltro                                    -  157575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 Leandro Mascaro Fernandes                      -  158101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Maria Victória da Silva </w:t>
        <w:tab/>
        <w:tab/>
        <w:tab/>
        <w:t xml:space="preserve">     -  156604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Mayra Magalhães Lopes </w:t>
        <w:tab/>
        <w:tab/>
        <w:tab/>
        <w:t xml:space="preserve">     -  156756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Fernanda Martins Gravena </w:t>
        <w:tab/>
        <w:tab/>
        <w:t xml:space="preserve">     -  159702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right"/>
      </w:pPr>
      <w:r w:rsidDel="00000000" w:rsidR="00000000" w:rsidRPr="00000000">
        <w:rPr>
          <w:sz w:val="24"/>
          <w:szCs w:val="24"/>
          <w:rtl w:val="0"/>
        </w:rPr>
        <w:t xml:space="preserve">  Giovanna Gomes Bittencourt de Campos  -  135896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Revisões</w:t>
      </w:r>
    </w:p>
    <w:tbl>
      <w:tblPr>
        <w:tblStyle w:val="Table1"/>
        <w:bidi w:val="0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2085"/>
        <w:gridCol w:w="3435"/>
        <w:gridCol w:w="1530"/>
        <w:tblGridChange w:id="0">
          <w:tblGrid>
            <w:gridCol w:w="1560"/>
            <w:gridCol w:w="2085"/>
            <w:gridCol w:w="3435"/>
            <w:gridCol w:w="15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Alteração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13/09/2016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 de Arquitetura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criou o documento de arquitetura, indicando o propósito do mesmo.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16/08/2016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Elaboração do escopo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grupo determinou quais seriam os tópicos contidos no documento.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Jr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255" w:hanging="285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…………………………………………………………........................ 4</w:t>
      </w:r>
    </w:p>
    <w:p w:rsidR="00000000" w:rsidDel="00000000" w:rsidP="00000000" w:rsidRDefault="00000000" w:rsidRPr="00000000">
      <w:pPr>
        <w:spacing w:line="360" w:lineRule="auto"/>
        <w:ind w:firstLine="405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………………………………………………………………...........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435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 O propósito deste documento é apresentar os diagramas de domínio, classe, casos de uso, casos de uso descritivo e de sequência.</w:t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0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8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