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Ficha de Análisis Documental SDD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Auditoría real de conformidad Especificación-Código, módulos críticos (Formato Único, Catálogo, Checkout, Seguridad/Zero Trust) — elaborada mediante revisión directa del código fuente del repositorio, julio 2026.</w:t>
      </w:r>
    </w:p>
    <w:p>
      <w:pPr>
        <w:pStyle w:val="Heading1"/>
        <w:spacing w:after="160" w:before="320"/>
      </w:pPr>
      <w:r>
        <w:t xml:space="preserve">1. Metodología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Checklist binario/ternario (Cumple, Cumple parcial, No Cumple, Pendiente de verificación) aplicado sobre cada requisito funcional (RF) y no funcional (RNF) de los cuatro módulos críticos del sistema, contrastando la especificación de REQUISITOS_FUNCIONALES.md / REQUISITOS_NO_FUNCIONALES.md contra el código real del backend (backend/app/) y frontend (frontend/src/). 'Cumple parcial' indica que existe implementación pero con una limitación conocida y documentada. 'Pendiente de verificación' indica que no se alcanzó a revisar el código correspondiente en esta pasada y no debe leerse como 'No Cumple'.</w:t>
      </w:r>
    </w:p>
    <w:p>
      <w:pPr>
        <w:pStyle w:val="Heading1"/>
        <w:spacing w:after="160" w:before="320"/>
      </w:pPr>
      <w:r>
        <w:t xml:space="preserve">2. Catálogo (MOD-CAT-01) — 9 RF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300"/>
        <w:gridCol w:w="408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4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 (archivo)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Buscar y filtrar productos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backend/app/api/endpoints/catalogo.py — GET /buscar/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detalle de producto por slug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catalogo.py — GET /{slug}/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producto al Formato Único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/{id}/items/{product_id}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Landing page (HOME-GUEST)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catalogo.py — GET /landing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Exploración intermedia de categorías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backend/app/api/endpoints/categorias.py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Gestión de Kits (CRUD + cálculo dinámico)</w:t>
            </w:r>
          </w:p>
        </w:tc>
        <w:tc>
          <w:tcPr>
            <w:tcW w:type="dxa" w:w="13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 parcial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backend/app/api/endpoints/kits.py existe; falta cascada de inactivación de componente (BRG-CROSS-003) y sincronización de precio en Borrador (BRG-CROSS-001)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Favoritos de productos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backend/app/api/endpoints/favoritos.py; frontend ProductCard.tsx (isFav)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 rápida por Telegram desde catálogo</w:t>
            </w:r>
          </w:p>
        </w:tc>
        <w:tc>
          <w:tcPr>
            <w:tcW w:type="dxa" w:w="13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encontró botón de Telegram en frontend/src/components/catalogo/ProductCard.tsx; el componente Telegram solo existe en components/formato/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RF-CAT-009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Carrito flotante (Drawer) y notificación al agregar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frontend/src/components/layout/CartBadge.tsx y Header.tsx</w:t>
            </w:r>
          </w:p>
        </w:tc>
      </w:tr>
    </w:tbl>
    <w:p>
      <w:pPr>
        <w:pStyle w:val="Heading1"/>
        <w:spacing w:after="160" w:before="320"/>
      </w:pPr>
      <w:r>
        <w:t xml:space="preserve">3. Formato Único (MOD-FU-01) — 21 RF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300"/>
        <w:gridCol w:w="408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4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 (archivo)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Editar cantidad de un ítem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PATCH /{id}/items/{product_id}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Eliminar ítem del Formato Único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DELETE /{id}/items/{product_id}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Vaciar Formato Único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DELETE /{id}/items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Solicitar consulta pre-venta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/{id}/solicitar-consulta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Generar cotización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/{formato_id}/aprobar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Iniciar checkout (Pedido)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checkout.py — POST /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Descargar PDF de cotización</w:t>
            </w:r>
          </w:p>
        </w:tc>
        <w:tc>
          <w:tcPr>
            <w:tcW w:type="dxa" w:w="13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Reconocido en Docs/ETDR_FORMATO_UNICO_CHECKOUT.md §6: no existe QuoteService ni almacenamiento; el botón redirige a un mock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Regenerar cotización expirada</w:t>
            </w:r>
          </w:p>
        </w:tc>
        <w:tc>
          <w:tcPr>
            <w:tcW w:type="dxa" w:w="13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MATRIZ_TRAZABILIDAD_GLOBAL.md §6.1: 'sigue sin endpoint — BannerFSM.tsx mantiene el botón como stub'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Migración GUEST→CUSTOMER (fusión de ítems)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/merge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historial de Formatos Únicos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GET /historial/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Reintentar pedido tras cancelación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orders.py — POST /{order_id}/reintentar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 del Customer (HOME-CUSTOMER)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verificación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revisó la vista frontend a fondo en esta auditoría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masiva por Excel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/excel/import; corregido según MATRIZ §6.3 (12/07/2026)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Descarga de plantilla Excel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GET /excel/template; corregido según MATRIZ §6.3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Mapeo dinámico de columnas Excel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verificación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ubicó lógica de mapeo dinámico en el tiempo de esta auditoría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Resolución individual de conflictos vía Telegram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frontend/src/components/formato/TelegramButton.tsx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 masiva (bulk) vía Telegram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TelegramButton.tsx; test_generar_url_masiva (backend/tests/unit)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Banners dinámicos FSM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BannerFSM.tsx (referenciado en MATRIZ_TRAZABILIDAD_GLOBAL.md)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RF-FU-019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Doble validación de importación Excel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/{id}/excel/aplicar; corregido según MATRIZ §6.3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RF-FU-020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Cancelar cotización vigente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/{formato_id}/cancelar-cotizacion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RF-FU-021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Recompra desde historial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/{id}/reemplazar-borrador y /combinar-borrador</w:t>
            </w:r>
          </w:p>
        </w:tc>
      </w:tr>
    </w:tbl>
    <w:p>
      <w:pPr>
        <w:pStyle w:val="Heading1"/>
        <w:spacing w:after="160" w:before="320"/>
      </w:pPr>
      <w:r>
        <w:t xml:space="preserve">4. Checkout (MOD-CHK-01) — 14 RF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300"/>
        <w:gridCol w:w="408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4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 (archivo)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Capturar datos de envío y facturación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checkout.py — POST / (payload incluye envío/facturación); test_checkout_crea_order_real_en_bd PASSED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Calcular costo de envío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verificación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se confirmó el campo shipping_cost en el modelo Order; no se revisó la lógica de cálculo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Iniciar proceso de pago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backend/app/services/payment_service.py (integración MercadoPago)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 pago (webhook)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test_webhook_approved_actualiza_order_real PASSED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Manejar pago fallido o cancelado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test_webhook_rejected_cancela_order_real PASSED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confirmación de pedido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orders.py — GET /by-token/{order_token}, GET /{order_id}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Enviar email de confirmación</w:t>
            </w:r>
          </w:p>
        </w:tc>
        <w:tc>
          <w:tcPr>
            <w:tcW w:type="dxa" w:w="13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backend/app/services/notification_service.py: función 'enviar_email_confirmacion' — docstring dice explícitamente 'Simula el envío' y solo hace logger.info (Mock SMTP), no envía correo real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Cancelar/reintentar pedido manualmente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orders.py — POST /{order_id}/cancelar, /reintentar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Captura de datos de facturación (Boleta/Factura)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verificación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revisó el auto-completado a fondo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con Mercado Pago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payment_service.py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RF-CHK-011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 temporal de inventario al iniciar pago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reserved_stock en inventory_service.py y formato_unico_service.py; corregido en Sprint 7 (T7-FIX1)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RF-CHK-012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Expiración de reserva tras 30 minutos</w:t>
            </w:r>
          </w:p>
        </w:tc>
        <w:tc>
          <w:tcPr>
            <w:tcW w:type="dxa" w:w="13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BRG-CROSS-005 — no se encontró scheduler/cron/job en backend/app que libere reserved_stock automáticamente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RF-CHK-013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Pantalla de confirmación post-pago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verificación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revisó la vista frontend a fondo en esta auditoría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RF-CHK-014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 Mercado Pago con mapeo de estados FSM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test_webhook_approved/rejected — mapeo approved→CONFIRMADO, rejected→CANCELADO verificado por prueba</w:t>
            </w:r>
          </w:p>
        </w:tc>
      </w:tr>
    </w:tbl>
    <w:p>
      <w:pPr>
        <w:pStyle w:val="Heading1"/>
        <w:spacing w:after="160" w:before="320"/>
      </w:pPr>
      <w:r>
        <w:t xml:space="preserve">5. Seguridad / Zero Trust transversal — 8 filas (agrupa RNF-SEG-*, RNF-AUD-001, RF-AUT-*)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Nota: la especificación original (REQUISITOS_FUNCIONALES.md) reutiliza los identificadores RF-SYS-001 a RF-SYS-005 tanto para 'Aislamiento RLS / Audit Trail' (tabla base) como para requisitos de diseño de interfaz (sección 'Extensiones v1.2'), sin renumerar. Por esa colisión de IDs, esta dimensión se construyó agrupando RNF-SEG-*, RNF-AUD-001 y RF-AUT-* en vez de citar RF-SYS-*; se recomienda corregir esa colisión en REQUISITOS_FUNCIONALES.md.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300"/>
        <w:gridCol w:w="408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4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 (archivo)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RNF-SEG-001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Idempotencia y protección contra replay en webhooks</w:t>
            </w:r>
          </w:p>
        </w:tc>
        <w:tc>
          <w:tcPr>
            <w:tcW w:type="dxa" w:w="13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 parcial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webhooks.py usa MockIdempotencyRepository (en memoria, no persistente) — no apto para despliegue serverless multi-instancia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RNF-SEG-002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Aislamiento de datos mediante RLS</w:t>
            </w:r>
          </w:p>
        </w:tc>
        <w:tc>
          <w:tcPr>
            <w:tcW w:type="dxa" w:w="13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 parcial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backend/scripts/setup_rls.sql implementa RLS real, pero solo sobre la tabla formato_unico, no sobre la totalidad de tablas sensibles del sistema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RNF-AUD-001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Auditoría inmutable de operaciones críticas</w:t>
            </w:r>
          </w:p>
        </w:tc>
        <w:tc>
          <w:tcPr>
            <w:tcW w:type="dxa" w:w="13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 parcial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backend/app/services/audit_service.py existe y se invoca; no se verificó el trigger de inmutabilidad a nivel de base de datos citado en la especificación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RF-AUT-001 a 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local/Google, recuperación de contraseña, etc.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backend/app/api/endpoints/auth.py, auth_service.py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RF-AUT-007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Migración GUEST→CUSTOMER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formato_unico.py — POST /merge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RF-AUT-008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Auto-completado de datos de facturación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verificación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revisó a fondo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RF-AUT-009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Renovar sesión mediante refresh token (rotación)</w:t>
            </w:r>
          </w:p>
        </w:tc>
        <w:tc>
          <w:tcPr>
            <w:tcW w:type="dxa" w:w="13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auth.py — POST /auth/refresh, AuthService.rotar_refresh_token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 (hallazgo adicional)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Algoritmo de firma JWT declarado como RS256 en el marco teórico</w:t>
            </w:r>
          </w:p>
        </w:tc>
        <w:tc>
          <w:tcPr>
            <w:tcW w:type="dxa" w:w="13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  <w:tc>
          <w:tcPr>
            <w:tcW w:type="dxa" w:w="4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auth_service.py define ALGORITHM = "HS256" con SECRET_KEY hardcodeada en el código fuente; no hay firma asimétrica en ningún punto del backend</w:t>
            </w:r>
          </w:p>
        </w:tc>
      </w:tr>
    </w:tbl>
    <w:p>
      <w:pPr>
        <w:pStyle w:val="Heading1"/>
        <w:spacing w:after="160" w:before="320"/>
      </w:pPr>
      <w:r>
        <w:t xml:space="preserve">6. Resumen de conformidad por módulo (reemplaza a la Tabla 04 del documento)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050"/>
        <w:gridCol w:w="1050"/>
        <w:gridCol w:w="1050"/>
        <w:gridCol w:w="1050"/>
        <w:gridCol w:w="900"/>
        <w:gridCol w:w="1700"/>
      </w:tblGrid>
      <w:tr>
        <w:trPr>
          <w:tblHeader/>
        </w:trPr>
        <w:tc>
          <w:tcPr>
            <w:tcW w:type="dxa" w:w="22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1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Parcial</w:t>
            </w:r>
          </w:p>
        </w:tc>
        <w:tc>
          <w:tcPr>
            <w:tcW w:type="dxa" w:w="1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  <w:tc>
          <w:tcPr>
            <w:tcW w:type="dxa" w:w="1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% Conformidad</w:t>
            </w:r>
          </w:p>
        </w:tc>
      </w:tr>
      <w:tr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 Único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86% (90% excl. pendientes)</w:t>
            </w:r>
          </w:p>
        </w:tc>
      </w:tr>
      <w:tr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Checkout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64% (82% excl. pendientes)</w:t>
            </w:r>
          </w:p>
        </w:tc>
      </w:tr>
      <w:tr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 / Zero Trust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50-80% según se resuelvan pendientes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Estas cifras deben reemplazar el '100% / Conforme / Excelente' de la Tabla 04 del documento (§4.1.4). Ningún módulo alcanza 100% de conformidad; cada uno tiene entre 1 y 3 brechas reales identificadas con evidencia de código.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2026-07-20T20:30:59.451Z</dcterms:created>
  <dcterms:modified xsi:type="dcterms:W3CDTF">2026-07-20T20:30:59.451Z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