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32"/>
          <w:szCs w:val="32"/>
        </w:rPr>
        <w:t xml:space="preserve">Revisión de consistencia, coherencia y desarrollo del informe DDF+</w:t>
      </w:r>
    </w:p>
    <w:p>
      <w:pPr>
        <w:spacing w:after="300"/>
      </w:pPr>
      <w:r>
        <w:rPr>
          <w:rFonts w:ascii="Calibri" w:cs="Calibri" w:eastAsia="Calibri" w:hAnsi="Calibri"/>
          <w:i/>
          <w:iCs/>
          <w:color w:val="555555"/>
          <w:sz w:val="24"/>
          <w:szCs w:val="24"/>
        </w:rPr>
        <w:t xml:space="preserve">Contraste del documento de tesis (plataforma B2B "Alling") contra el estado real del repositorio tiendRed</w:t>
      </w:r>
    </w:p>
    <w:p>
      <w:pPr>
        <w:pStyle w:val="Heading1"/>
        <w:spacing w:after="160" w:before="320"/>
      </w:pPr>
      <w:r>
        <w:t xml:space="preserve">1. Alcance y método</w:t>
      </w:r>
    </w:p>
    <w:p>
      <w:pPr>
        <w:spacing w:after="160" w:line="276"/>
      </w:pPr>
      <w:r>
        <w:rPr>
          <w:rFonts w:ascii="Calibri" w:cs="Calibri" w:eastAsia="Calibri" w:hAnsi="Calibri"/>
          <w:sz w:val="22"/>
          <w:szCs w:val="22"/>
        </w:rPr>
        <w:t xml:space="preserve">Se revisó el documento DDF+.pdf (tesis sobre el desarrollo de la plataforma B2B "Alling", 87 páginas) en dos planos: (a) consistencia interna, es decir, si el propio texto se contradice entre secciones; y (b) correspondencia con el desarrollo real, contrastando cada cifra y afirmación técnica verificable contra el código y la documentación del repositorio tiendRed (carpeta Docs/, backend/, frontend/, openapi_real.json, suite de pruebas). No se evaluó redacción académica ni formato APA.</w:t>
      </w:r>
    </w:p>
    <w:p>
      <w:pPr>
        <w:pStyle w:val="Heading1"/>
        <w:spacing w:after="160" w:before="320"/>
      </w:pPr>
      <w:r>
        <w:t xml:space="preserve">2. Hallazgos críticos</w:t>
      </w:r>
    </w:p>
    <w:p>
      <w:pPr>
        <w:pStyle w:val="Heading2"/>
        <w:spacing w:after="120" w:before="260"/>
      </w:pPr>
      <w:r>
        <w:t xml:space="preserve">2.1 Requisitos funcionales y no funcionales: dos cifras que se usan indistintamente</w:t>
      </w:r>
    </w:p>
    <w:p>
      <w:pPr>
        <w:spacing w:after="160" w:line="276"/>
      </w:pPr>
      <w:r>
        <w:rPr>
          <w:rFonts w:ascii="Calibri" w:cs="Calibri" w:eastAsia="Calibri" w:hAnsi="Calibri"/>
          <w:sz w:val="22"/>
          <w:szCs w:val="22"/>
        </w:rPr>
        <w:t xml:space="preserve">El documento reporta dos pares de cifras distintos para la misma variable (RFs y RNFs) sin reconciliarlos nunca. Un grupo de secciones usa 87 RFs / 24 RNFs; otro usa 83 RFs / 19 RNFs. Ambos se presentan como el resultado final y definitivo del mismo análisis (X1), no como cifras de distintas iteraciones.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0"/>
        <w:gridCol w:w="6000"/>
      </w:tblGrid>
      <w:tr>
        <w:trPr>
          <w:tblHeader/>
        </w:trPr>
        <w:tc>
          <w:tcPr>
            <w:tcW w:type="dxa" w:w="5000"/>
            <w:shd w:fill="D9D9D9" w:val="clear"/>
            <w:tcMar>
              <w:top w:type="dxa" w:w="80"/>
              <w:left w:type="dxa" w:w="100"/>
              <w:bottom w:type="dxa" w:w="80"/>
              <w:right w:type="dxa" w:w="100"/>
            </w:tcMar>
          </w:tcPr>
          <w:p>
            <w:r>
              <w:rPr>
                <w:rFonts w:ascii="Calibri" w:cs="Calibri" w:eastAsia="Calibri" w:hAnsi="Calibri"/>
                <w:b/>
                <w:bCs/>
                <w:sz w:val="20"/>
                <w:szCs w:val="20"/>
              </w:rPr>
              <w:t xml:space="preserve">Cifra citada</w:t>
            </w:r>
          </w:p>
        </w:tc>
        <w:tc>
          <w:tcPr>
            <w:tcW w:type="dxa" w:w="6000"/>
            <w:shd w:fill="D9D9D9" w:val="clear"/>
            <w:tcMar>
              <w:top w:type="dxa" w:w="80"/>
              <w:left w:type="dxa" w:w="100"/>
              <w:bottom w:type="dxa" w:w="80"/>
              <w:right w:type="dxa" w:w="100"/>
            </w:tcMar>
          </w:tcPr>
          <w:p>
            <w:r>
              <w:rPr>
                <w:rFonts w:ascii="Calibri" w:cs="Calibri" w:eastAsia="Calibri" w:hAnsi="Calibri"/>
                <w:b/>
                <w:bCs/>
                <w:sz w:val="20"/>
                <w:szCs w:val="20"/>
              </w:rPr>
              <w:t xml:space="preserve">Ubicaciones en el documento</w:t>
            </w:r>
          </w:p>
        </w:tc>
      </w:tr>
      <w:tr>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87 RFs / 24 RNFs</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Resumen (p.3); §1.4.2.3 Justificación técnica (p.16); Tabla 01 (p.35); §4.1.1 Resultados de análisis (p.42)</w:t>
            </w:r>
          </w:p>
        </w:tc>
      </w:tr>
      <w:tr>
        <w:tc>
          <w:tcPr>
            <w:tcW w:type="dxa" w:w="5000"/>
            <w:tcMar>
              <w:top w:type="dxa" w:w="80"/>
              <w:left w:type="dxa" w:w="100"/>
              <w:bottom w:type="dxa" w:w="80"/>
              <w:right w:type="dxa" w:w="100"/>
            </w:tcMar>
          </w:tcPr>
          <w:p>
            <w:r>
              <w:rPr>
                <w:rFonts w:ascii="Calibri" w:cs="Calibri" w:eastAsia="Calibri" w:hAnsi="Calibri"/>
                <w:b w:val="false"/>
                <w:bCs w:val="false"/>
                <w:sz w:val="20"/>
                <w:szCs w:val="20"/>
              </w:rPr>
              <w:t xml:space="preserve">83 RFs / 19 RNFs</w:t>
            </w:r>
          </w:p>
        </w:tc>
        <w:tc>
          <w:tcPr>
            <w:tcW w:type="dxa" w:w="6000"/>
            <w:tcMar>
              <w:top w:type="dxa" w:w="80"/>
              <w:left w:type="dxa" w:w="100"/>
              <w:bottom w:type="dxa" w:w="80"/>
              <w:right w:type="dxa" w:w="100"/>
            </w:tcMar>
          </w:tcPr>
          <w:p>
            <w:r>
              <w:rPr>
                <w:rFonts w:ascii="Calibri" w:cs="Calibri" w:eastAsia="Calibri" w:hAnsi="Calibri"/>
                <w:b w:val="false"/>
                <w:bCs w:val="false"/>
                <w:sz w:val="20"/>
                <w:szCs w:val="20"/>
              </w:rPr>
              <w:t xml:space="preserve">Abstract (p.4); §2.2.8 Calidad del software (p.26); §3.6.6 (p.40); Conclusiones, objetivo "a" (p.52); Anexo A, matriz de consistencia (p.56); Anexo 3.2.3 (p.62)</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b/>
          <w:bCs/>
          <w:sz w:val="22"/>
          <w:szCs w:val="22"/>
        </w:rPr>
        <w:t xml:space="preserve">Contraste con el repositorio: </w:t>
      </w:r>
      <w:r>
        <w:rPr>
          <w:rFonts w:ascii="Calibri" w:cs="Calibri" w:eastAsia="Calibri" w:hAnsi="Calibri"/>
          <w:sz w:val="22"/>
          <w:szCs w:val="22"/>
        </w:rPr>
        <w:t xml:space="preserve">REQUISITOS_FUNCIONALES.md declara en su encabezado un total de 56 RFs, pero esa cifra corresponde solo al cuerpo base del documento. Contando identificadores RF-XXX-NNN únicos en todo el archivo (incluida la sección "Extensiones v1.2"), el total real es 87 — coincide exactamente con el primer grupo. REQUISITOS_NO_FUNCIONALES.md arroja 22 identificadores RNF únicos, más cercano a 24 que a 19. Es decir: la pareja "87/24" sí es rastreable al repositorio; la pareja "83/19" no tiene un origen identificable y parece una cifra de una iteración anterior que quedó sin actualizar en la mitad del documento.</w:t>
      </w:r>
    </w:p>
    <w:p>
      <w:pPr>
        <w:pStyle w:val="Heading2"/>
        <w:spacing w:after="120" w:before="260"/>
      </w:pPr>
      <w:r>
        <w:t xml:space="preserve">2.2 Autenticación: el documento afirma RS256, el código usa HS256 con secreto hardcodeado</w:t>
      </w:r>
    </w:p>
    <w:p>
      <w:pPr>
        <w:spacing w:after="160" w:line="276"/>
      </w:pPr>
      <w:r>
        <w:rPr>
          <w:rFonts w:ascii="Calibri" w:cs="Calibri" w:eastAsia="Calibri" w:hAnsi="Calibri"/>
          <w:sz w:val="22"/>
          <w:szCs w:val="22"/>
        </w:rPr>
        <w:t xml:space="preserve">El marco teórico y los resultados de diseño afirman repetidamente que la plataforma usa "Autenticación JWT RS256: Tokens asimétricos para usuarios CUSTOMER" (§2.2.9, p.27) y listan "JWT RS256" como parte de la arquitectura Zero Trust (§2.2.8, p.27).</w:t>
      </w:r>
    </w:p>
    <w:p>
      <w:pPr>
        <w:spacing w:after="160" w:line="276"/>
      </w:pPr>
      <w:r>
        <w:rPr>
          <w:rFonts w:ascii="Calibri" w:cs="Calibri" w:eastAsia="Calibri" w:hAnsi="Calibri"/>
          <w:b/>
          <w:bCs/>
          <w:sz w:val="22"/>
          <w:szCs w:val="22"/>
        </w:rPr>
        <w:t xml:space="preserve">Evidencia en el código: </w:t>
      </w:r>
      <w:r>
        <w:rPr>
          <w:rFonts w:ascii="Calibri" w:cs="Calibri" w:eastAsia="Calibri" w:hAnsi="Calibri"/>
          <w:sz w:val="22"/>
          <w:szCs w:val="22"/>
        </w:rPr>
        <w:t xml:space="preserve">backend/app/services/auth_service.py define ALGORITHM = "HS256" (algoritmo simétrico, no RS256) y SECRET_KEY = "super_secret_jwt_key_b2b" como literal hardcodeado en el código fuente. Esto contradice directamente la afirmación de RS256 y, adicionalmente, es en sí mismo un hallazgo de seguridad relevante que el documento no reporta como brecha, pese a que su propia metodología (SDD) declara como principio hacer visible toda desviación conocida.</w:t>
      </w:r>
    </w:p>
    <w:p>
      <w:pPr>
        <w:pStyle w:val="Heading2"/>
        <w:spacing w:after="120" w:before="260"/>
      </w:pPr>
      <w:r>
        <w:t xml:space="preserve">2.3 Versión de Next.js: tres valores distintos dentro del mismo documento y el repositorio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6500"/>
        <w:gridCol w:w="4500"/>
      </w:tblGrid>
      <w:tr>
        <w:trPr>
          <w:tblHeader/>
        </w:trPr>
        <w:tc>
          <w:tcPr>
            <w:tcW w:type="dxa" w:w="6500"/>
            <w:shd w:fill="D9D9D9" w:val="clear"/>
            <w:tcMar>
              <w:top w:type="dxa" w:w="80"/>
              <w:left w:type="dxa" w:w="100"/>
              <w:bottom w:type="dxa" w:w="80"/>
              <w:right w:type="dxa" w:w="100"/>
            </w:tcMar>
          </w:tcPr>
          <w:p>
            <w:r>
              <w:rPr>
                <w:rFonts w:ascii="Calibri" w:cs="Calibri" w:eastAsia="Calibri" w:hAnsi="Calibri"/>
                <w:b/>
                <w:bCs/>
                <w:sz w:val="20"/>
                <w:szCs w:val="20"/>
              </w:rPr>
              <w:t xml:space="preserve">Fuente</w:t>
            </w:r>
          </w:p>
        </w:tc>
        <w:tc>
          <w:tcPr>
            <w:tcW w:type="dxa" w:w="4500"/>
            <w:shd w:fill="D9D9D9" w:val="clear"/>
            <w:tcMar>
              <w:top w:type="dxa" w:w="80"/>
              <w:left w:type="dxa" w:w="100"/>
              <w:bottom w:type="dxa" w:w="80"/>
              <w:right w:type="dxa" w:w="100"/>
            </w:tcMar>
          </w:tcPr>
          <w:p>
            <w:r>
              <w:rPr>
                <w:rFonts w:ascii="Calibri" w:cs="Calibri" w:eastAsia="Calibri" w:hAnsi="Calibri"/>
                <w:b/>
                <w:bCs/>
                <w:sz w:val="20"/>
                <w:szCs w:val="20"/>
              </w:rPr>
              <w:t xml:space="preserve">Versión reportada</w:t>
            </w:r>
          </w:p>
        </w:tc>
      </w:tr>
      <w:tr>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Resumen, Abstract, §2.2.2, título de arquitectura</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Next.js 14</w:t>
            </w:r>
          </w:p>
        </w:tc>
      </w:tr>
      <w:tr>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Anexo 5.1, Figura 01 (Diagrama C4 de contenedores, p.71)</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Next.js 15 (rótulo "Container Frontend Next.js 15")</w:t>
            </w:r>
          </w:p>
        </w:tc>
      </w:tr>
      <w:tr>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frontend/package.json (repositorio real)</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"next": "16.2.10" (versión fija, sin rango)</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Ninguna de las dos cifras usadas en el propio documento coincide con la versión realmente instalada. Esto sugiere que el marco teórico y el diagrama arquitectónico se redactaron en momentos distintos del proyecto y no se actualizaron contra el estado final del código.</w:t>
      </w:r>
    </w:p>
    <w:p>
      <w:pPr>
        <w:pStyle w:val="Heading2"/>
        <w:spacing w:after="120" w:before="260"/>
      </w:pPr>
      <w:r>
        <w:t xml:space="preserve">2.4 La conclusión sobre la brecha de RLS no coincide con la evidencia mostrada en el mismo capítulo</w:t>
      </w:r>
    </w:p>
    <w:p>
      <w:pPr>
        <w:spacing w:after="160" w:line="276"/>
      </w:pPr>
      <w:r>
        <w:rPr>
          <w:rFonts w:ascii="Calibri" w:cs="Calibri" w:eastAsia="Calibri" w:hAnsi="Calibri"/>
          <w:sz w:val="22"/>
          <w:szCs w:val="22"/>
        </w:rPr>
        <w:t xml:space="preserve">En el §4.1.5.2 (p.48) se muestra una captura real de la ejecución de pytest cuyo resumen dice: "SKIPPED [1] backend\tests\integration\test_security_rls.py:16: testcontainers no instalado". Es decir, la propia evidencia que el documento presenta indica que la prueba de RLS nunca se ejecutó (fue omitida) por falta del paquete opcional testcontainers.</w:t>
      </w:r>
    </w:p>
    <w:p>
      <w:pPr>
        <w:spacing w:after="160" w:line="276"/>
      </w:pPr>
      <w:r>
        <w:rPr>
          <w:rFonts w:ascii="Calibri" w:cs="Calibri" w:eastAsia="Calibri" w:hAnsi="Calibri"/>
          <w:b/>
          <w:bCs/>
          <w:sz w:val="22"/>
          <w:szCs w:val="22"/>
        </w:rPr>
        <w:t xml:space="preserve">Sin embargo, </w:t>
      </w:r>
      <w:r>
        <w:rPr>
          <w:rFonts w:ascii="Calibri" w:cs="Calibri" w:eastAsia="Calibri" w:hAnsi="Calibri"/>
          <w:sz w:val="22"/>
          <w:szCs w:val="22"/>
        </w:rPr>
        <w:t xml:space="preserve">en las Conclusiones (p.54) y Recomendaciones (p.54-55) se describe una causa raíz distinta y más específica: que la prueba "resultó interceptada por el fixture global de base de datos de prueba, ejecutándose en la práctica contra SQLite en lugar de un motor PostgreSQL real", y se recomienda "aislar la configuración de base de datos de test_rls_security del fixture global setup_test_db". Un SKIP nunca ejecuta el cuerpo de la prueba, por lo que no puede haber corrido "en la práctica" contra SQLite; ambas explicaciones no pueden ser ciertas a la vez. Revisando backend/tests/integration/test_security_rls.py: la función hace pytest.skip(...) cuando testcontainers no está instalado o no existe un fixture postgres_container, que es justamente lo que dice la captura de pantalla del propio documento. La narrativa de la Fase V no está sustentada por el código ni por la evidencia presentada en la Fase IV.</w:t>
      </w:r>
    </w:p>
    <w:p>
      <w:pPr>
        <w:pStyle w:val="Heading1"/>
        <w:spacing w:after="160" w:before="320"/>
      </w:pPr>
      <w:r>
        <w:t xml:space="preserve">3. Otras inconsistencias internas</w:t>
      </w:r>
    </w:p>
    <w:p>
      <w:pPr>
        <w:pStyle w:val="Heading2"/>
        <w:spacing w:after="120" w:before="260"/>
      </w:pPr>
      <w:r>
        <w:t xml:space="preserve">3.1 Composición de la muestra piloto: dos descripciones distintas para el mismo grupo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500"/>
        <w:gridCol w:w="6500"/>
      </w:tblGrid>
      <w:tr>
        <w:trPr>
          <w:tblHeader/>
        </w:trPr>
        <w:tc>
          <w:tcPr>
            <w:tcW w:type="dxa" w:w="4500"/>
            <w:shd w:fill="D9D9D9" w:val="clear"/>
            <w:tcMar>
              <w:top w:type="dxa" w:w="80"/>
              <w:left w:type="dxa" w:w="100"/>
              <w:bottom w:type="dxa" w:w="80"/>
              <w:right w:type="dxa" w:w="100"/>
            </w:tcMar>
          </w:tcPr>
          <w:p>
            <w:r>
              <w:rPr>
                <w:rFonts w:ascii="Calibri" w:cs="Calibri" w:eastAsia="Calibri" w:hAnsi="Calibri"/>
                <w:b/>
                <w:bCs/>
                <w:sz w:val="20"/>
                <w:szCs w:val="20"/>
              </w:rPr>
              <w:t xml:space="preserve">Sección</w:t>
            </w:r>
          </w:p>
        </w:tc>
        <w:tc>
          <w:tcPr>
            <w:tcW w:type="dxa" w:w="6500"/>
            <w:shd w:fill="D9D9D9" w:val="clear"/>
            <w:tcMar>
              <w:top w:type="dxa" w:w="80"/>
              <w:left w:type="dxa" w:w="100"/>
              <w:bottom w:type="dxa" w:w="80"/>
              <w:right w:type="dxa" w:w="100"/>
            </w:tcMar>
          </w:tcPr>
          <w:p>
            <w:r>
              <w:rPr>
                <w:rFonts w:ascii="Calibri" w:cs="Calibri" w:eastAsia="Calibri" w:hAnsi="Calibri"/>
                <w:b/>
                <w:bCs/>
                <w:sz w:val="20"/>
                <w:szCs w:val="20"/>
              </w:rPr>
              <w:t xml:space="preserve">Composición descrita</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§3.4.2 Muestra (p.32-33)</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15 usuarios: 10 compradores corporativos (CUSTOMER) + 5 vendedores (SELLER). No se menciona ADMIN.</w:t>
            </w:r>
          </w:p>
        </w:tc>
      </w:tr>
      <w:tr>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§3.6.1.3 Prueba piloto (p.36) y Anexo A (p.57)</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15 usuarios: 5 CUSTOMER + 5 SELLER + 5 ADMIN, presentado como "la muestra descrita en el apartado 3.4.2"</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La segunda descripción se remite explícitamente a la primera como su fuente, pero la composición no coincide (10+5 frente a 5+5+5).</w:t>
      </w:r>
    </w:p>
    <w:p>
      <w:pPr>
        <w:pStyle w:val="Heading2"/>
        <w:spacing w:after="120" w:before="260"/>
      </w:pPr>
      <w:r>
        <w:t xml:space="preserve">3.2 Conteo de la suite de pruebas automatizadas</w:t>
      </w:r>
    </w:p>
    <w:p>
      <w:pPr>
        <w:spacing w:after="160" w:line="276"/>
      </w:pPr>
      <w:r>
        <w:rPr>
          <w:rFonts w:ascii="Calibri" w:cs="Calibri" w:eastAsia="Calibri" w:hAnsi="Calibri"/>
          <w:sz w:val="22"/>
          <w:szCs w:val="22"/>
        </w:rPr>
        <w:t xml:space="preserve">El código real contiene 189 funciones de prueba (73 en backend/tests/unit, 112 en backend/tests/integration, 4 en backend/tests/test_formato_unico_kits.py), cifra que coincide con la mencionada en Conclusiones (p.53: "suite automatizada de pruebas (189 casos)"). Sin embargo, el Anexo 6.3 (Tabla 13, p.75) reporta "190 pruebas recolectadas, 186 aprobadas (97.9%), 2 fallidas, 2 con error", una cifra distinta a la usada en el cuerpo del informe para la misma suite.</w:t>
      </w:r>
    </w:p>
    <w:p>
      <w:pPr>
        <w:pStyle w:val="Heading2"/>
        <w:spacing w:after="120" w:before="260"/>
      </w:pPr>
      <w:r>
        <w:t xml:space="preserve">3.3 Ruta de documentación citada que no existe en el repositorio</w:t>
      </w:r>
    </w:p>
    <w:p>
      <w:pPr>
        <w:spacing w:after="160" w:line="276"/>
      </w:pPr>
      <w:r>
        <w:rPr>
          <w:rFonts w:ascii="Calibri" w:cs="Calibri" w:eastAsia="Calibri" w:hAnsi="Calibri"/>
          <w:sz w:val="22"/>
          <w:szCs w:val="22"/>
        </w:rPr>
        <w:t xml:space="preserve">El Anexo 3.2.1 (p.60-61) describe constitución-00.md, rbac_policy.md, business_rules.yaml.md y test_plan_oaarit.md como contenidos de la carpeta "Docs/00_project/". En el repositorio real esos cuatro archivos existen, pero dentro de "Docs/FASE 1/"; la carpeta "Docs/00_project/" no existe.</w:t>
      </w:r>
    </w:p>
    <w:p>
      <w:pPr>
        <w:pStyle w:val="Heading2"/>
        <w:spacing w:after="120" w:before="260"/>
      </w:pPr>
      <w:r>
        <w:t xml:space="preserve">3.4 Detalle menor de nomenclatura</w:t>
      </w:r>
    </w:p>
    <w:p>
      <w:pPr>
        <w:spacing w:after="160" w:line="276"/>
      </w:pPr>
      <w:r>
        <w:rPr>
          <w:rFonts w:ascii="Calibri" w:cs="Calibri" w:eastAsia="Calibri" w:hAnsi="Calibri"/>
          <w:sz w:val="22"/>
          <w:szCs w:val="22"/>
        </w:rPr>
        <w:t xml:space="preserve">La Tabla 01 (§3.5.2, p.35) etiqueta la variable X5 como "Calidad y Trazabilidad SD" (falta la segunda "D"); en el resto del documento la sigla usada consistentemente es "SDD".</w:t>
      </w:r>
    </w:p>
    <w:p>
      <w:pPr>
        <w:pStyle w:val="Heading2"/>
        <w:spacing w:after="120" w:before="260"/>
      </w:pPr>
      <w:r>
        <w:t xml:space="preserve">3.5 Las "12 brechas funcionales" no se corresponden con una lista enumerable en el repositorio</w:t>
      </w:r>
    </w:p>
    <w:p>
      <w:pPr>
        <w:spacing w:after="160" w:line="276"/>
      </w:pPr>
      <w:r>
        <w:rPr>
          <w:rFonts w:ascii="Calibri" w:cs="Calibri" w:eastAsia="Calibri" w:hAnsi="Calibri"/>
          <w:sz w:val="22"/>
          <w:szCs w:val="22"/>
        </w:rPr>
        <w:t xml:space="preserve">El documento repite en varias secciones (p.3, p.47, p.52, p.54) que la auditoría identificó exactamente "12 brechas funcionales" documentadas como deuda técnica. En MATRIZ_TRAZABILIDAD_GLOBAL.md, la sección "Brechas Integradas en Ejecución (v1.3)" contiene 5 filas marcadas explícitamente "Pendiente Implementación", a las que se suman menciones dispersas de brechas cerradas o abiertas dentro de la narrativa del Sprint 6 (por ejemplo, RF-FU-008 sigue sin endpoint). No se encontró una lista única y enumerada de 12 elementos que sustente esa cifra puntual; el número parece agregar brechas de distintas naturalezas (funcionales y de configuración de pruebas) sin que el repositorio ofrezca un listado consolidado verificable.</w:t>
      </w:r>
    </w:p>
    <w:p>
      <w:pPr>
        <w:pStyle w:val="Heading1"/>
        <w:spacing w:after="160" w:before="320"/>
      </w:pPr>
      <w:r>
        <w:t xml:space="preserve">4. Aspectos verificados como consistentes</w:t>
      </w:r>
    </w:p>
    <w:p>
      <w:pPr>
        <w:spacing w:after="160" w:line="276"/>
      </w:pPr>
      <w:r>
        <w:rPr>
          <w:rFonts w:ascii="Calibri" w:cs="Calibri" w:eastAsia="Calibri" w:hAnsi="Calibri"/>
          <w:sz w:val="22"/>
          <w:szCs w:val="22"/>
        </w:rPr>
        <w:t xml:space="preserve">Para equilibrar la revisión, esto es lo que sí coincide entre el documento y el repositorio:</w:t>
      </w:r>
    </w:p>
    <w:p>
      <w:pPr>
        <w:pStyle w:val="ListParagraph"/>
        <w:numPr>
          <w:ilvl w:val="0"/>
          <w:numId w:val="1"/>
        </w:numPr>
        <w:spacing w:after="80"/>
      </w:pPr>
      <w:r>
        <w:rPr>
          <w:rFonts w:ascii="Calibri" w:cs="Calibri" w:eastAsia="Calibri" w:hAnsi="Calibri"/>
          <w:sz w:val="22"/>
          <w:szCs w:val="22"/>
        </w:rPr>
        <w:t xml:space="preserve">openapi_real.json contiene exactamente 50 endpoints (paths) y 45 esquemas en components.schemas, tal como se afirma en §2.2.4, §4.1.2 y el Resumen.</w:t>
      </w:r>
    </w:p>
    <w:p>
      <w:pPr>
        <w:pStyle w:val="ListParagraph"/>
        <w:numPr>
          <w:ilvl w:val="0"/>
          <w:numId w:val="1"/>
        </w:numPr>
        <w:spacing w:after="80"/>
      </w:pPr>
      <w:r>
        <w:rPr>
          <w:rFonts w:ascii="Calibri" w:cs="Calibri" w:eastAsia="Calibri" w:hAnsi="Calibri"/>
          <w:sz w:val="22"/>
          <w:szCs w:val="22"/>
        </w:rPr>
        <w:t xml:space="preserve">El total de 67 historias de usuario está bien sustentado: HISTORIAS_USUARIO.md documenta 49 HUs en el cuerpo base más una sección "Extensiones v1.2 (18 Nuevas Historias de Usuario)", que suman 67, coincidiendo con el desglose del Anexo 4.1.</w:t>
      </w:r>
    </w:p>
    <w:p>
      <w:pPr>
        <w:pStyle w:val="ListParagraph"/>
        <w:numPr>
          <w:ilvl w:val="0"/>
          <w:numId w:val="1"/>
        </w:numPr>
        <w:spacing w:after="80"/>
      </w:pPr>
      <w:r>
        <w:rPr>
          <w:rFonts w:ascii="Calibri" w:cs="Calibri" w:eastAsia="Calibri" w:hAnsi="Calibri"/>
          <w:sz w:val="22"/>
          <w:szCs w:val="22"/>
        </w:rPr>
        <w:t xml:space="preserve">La arquitectura en capas descrita para el backend (api/, services/, domain/, models/, schemas/, infra/, core/) y el frontend (app/, components/, context/, hooks/, lib/) coincide exactamente con las carpetas reales de backend/app/ y frontend/src/.</w:t>
      </w:r>
    </w:p>
    <w:p>
      <w:pPr>
        <w:pStyle w:val="ListParagraph"/>
        <w:numPr>
          <w:ilvl w:val="0"/>
          <w:numId w:val="1"/>
        </w:numPr>
        <w:spacing w:after="80"/>
      </w:pPr>
      <w:r>
        <w:rPr>
          <w:rFonts w:ascii="Calibri" w:cs="Calibri" w:eastAsia="Calibri" w:hAnsi="Calibri"/>
          <w:sz w:val="22"/>
          <w:szCs w:val="22"/>
        </w:rPr>
        <w:t xml:space="preserve">Los 10 módulos funcionales y los 4 actores (GUEST, CUSTOMER, SELLER, ADMIN) coinciden con los códigos de módulo usados en todo el repositorio (CAT, FU, CHK, CON, COT, SEL, ADM, AUT, DIS, SYS).</w:t>
      </w:r>
    </w:p>
    <w:p>
      <w:pPr>
        <w:pStyle w:val="ListParagraph"/>
        <w:numPr>
          <w:ilvl w:val="0"/>
          <w:numId w:val="1"/>
        </w:numPr>
        <w:spacing w:after="80"/>
      </w:pPr>
      <w:r>
        <w:rPr>
          <w:rFonts w:ascii="Calibri" w:cs="Calibri" w:eastAsia="Calibri" w:hAnsi="Calibri"/>
          <w:sz w:val="22"/>
          <w:szCs w:val="22"/>
        </w:rPr>
        <w:t xml:space="preserve">Existen los 8 sprints documentados (SPRINTS 1,2,3,4,5.md y SPRINT_6/7/8_BACKLOG.md), y la carpeta .kiro/specs/alling-master/ referida en el Anexo 3.2.5 existe con sus tres archivos (requirements.md, design.md, tasks.md).</w:t>
      </w:r>
    </w:p>
    <w:p>
      <w:pPr>
        <w:pStyle w:val="ListParagraph"/>
        <w:numPr>
          <w:ilvl w:val="0"/>
          <w:numId w:val="1"/>
        </w:numPr>
        <w:spacing w:after="80"/>
      </w:pPr>
      <w:r>
        <w:rPr>
          <w:rFonts w:ascii="Calibri" w:cs="Calibri" w:eastAsia="Calibri" w:hAnsi="Calibri"/>
          <w:sz w:val="22"/>
          <w:szCs w:val="22"/>
        </w:rPr>
        <w:t xml:space="preserve">La política de Row Level Security existe realmente (backend/scripts/setup_rls.sql), aunque su alcance verificado se limita a la tabla formato_unico y no a la totalidad de tablas del sistema como sugiere la redacción general del documento.</w:t>
      </w:r>
    </w:p>
    <w:p>
      <w:pPr>
        <w:pStyle w:val="Heading1"/>
        <w:spacing w:after="160" w:before="320"/>
      </w:pPr>
      <w:r>
        <w:t xml:space="preserve">5. Recomendaciones priorizadas</w:t>
      </w:r>
    </w:p>
    <w:p>
      <w:pPr>
        <w:pStyle w:val="ListParagraph"/>
        <w:numPr>
          <w:ilvl w:val="0"/>
          <w:numId w:val="1"/>
        </w:numPr>
        <w:spacing w:after="80"/>
      </w:pPr>
      <w:r>
        <w:rPr>
          <w:rFonts w:ascii="Calibri" w:cs="Calibri" w:eastAsia="Calibri" w:hAnsi="Calibri"/>
          <w:sz w:val="22"/>
          <w:szCs w:val="22"/>
        </w:rPr>
        <w:t xml:space="preserve">Unificar en todo el documento (Resumen, Abstract, capítulos y anexos) una única cifra de RFs/RNFs. La evidencia del repositorio respalda 87 RFs y ~22-24 RNFs; se recomienda adoptar esa versión y eliminar toda mención a "83/19", o bien documentar explícitamente que corresponde a un corte anterior del proyecto.</w:t>
      </w:r>
    </w:p>
    <w:p>
      <w:pPr>
        <w:pStyle w:val="ListParagraph"/>
        <w:numPr>
          <w:ilvl w:val="0"/>
          <w:numId w:val="1"/>
        </w:numPr>
        <w:spacing w:after="80"/>
      </w:pPr>
      <w:r>
        <w:rPr>
          <w:rFonts w:ascii="Calibri" w:cs="Calibri" w:eastAsia="Calibri" w:hAnsi="Calibri"/>
          <w:sz w:val="22"/>
          <w:szCs w:val="22"/>
        </w:rPr>
        <w:t xml:space="preserve">Corregir la afirmación de JWT RS256 para reflejar el algoritmo HS256 realmente implementado, y — más allá del documento — reemplazar la clave secreta hardcodeada en auth_service.py por una variable de entorno, dado que es una brecha de seguridad real.</w:t>
      </w:r>
    </w:p>
    <w:p>
      <w:pPr>
        <w:pStyle w:val="ListParagraph"/>
        <w:numPr>
          <w:ilvl w:val="0"/>
          <w:numId w:val="1"/>
        </w:numPr>
        <w:spacing w:after="80"/>
      </w:pPr>
      <w:r>
        <w:rPr>
          <w:rFonts w:ascii="Calibri" w:cs="Calibri" w:eastAsia="Calibri" w:hAnsi="Calibri"/>
          <w:sz w:val="22"/>
          <w:szCs w:val="22"/>
        </w:rPr>
        <w:t xml:space="preserve">Unificar la versión de Next.js citada (título, resumen, marco teórico, Anexo 5.1) con la versión real instalada en package.json, o registrar el cambio de versión como parte de la bitácora de decisiones técnicas si ocurrió durante el desarrollo.</w:t>
      </w:r>
    </w:p>
    <w:p>
      <w:pPr>
        <w:pStyle w:val="ListParagraph"/>
        <w:numPr>
          <w:ilvl w:val="0"/>
          <w:numId w:val="1"/>
        </w:numPr>
        <w:spacing w:after="80"/>
      </w:pPr>
      <w:r>
        <w:rPr>
          <w:rFonts w:ascii="Calibri" w:cs="Calibri" w:eastAsia="Calibri" w:hAnsi="Calibri"/>
          <w:sz w:val="22"/>
          <w:szCs w:val="22"/>
        </w:rPr>
        <w:t xml:space="preserve">Revisar la narrativa de la Fase V sobre la prueba de RLS: sustituir la explicación de "interceptación por fixture global ejecutando contra SQLite" por la causa real evidenciada en el propio documento (dependencia opcional testcontainers no instalada, prueba omitida), y ajustar la recomendación correctiva en consecuencia.</w:t>
      </w:r>
    </w:p>
    <w:p>
      <w:pPr>
        <w:pStyle w:val="ListParagraph"/>
        <w:numPr>
          <w:ilvl w:val="0"/>
          <w:numId w:val="1"/>
        </w:numPr>
        <w:spacing w:after="80"/>
      </w:pPr>
      <w:r>
        <w:rPr>
          <w:rFonts w:ascii="Calibri" w:cs="Calibri" w:eastAsia="Calibri" w:hAnsi="Calibri"/>
          <w:sz w:val="22"/>
          <w:szCs w:val="22"/>
        </w:rPr>
        <w:t xml:space="preserve">Unificar la descripción de la muestra piloto (10+5 frente a 5+5+5) en un solo lugar y referenciarla sin duplicar la definición con datos distintos.</w:t>
      </w:r>
    </w:p>
    <w:p>
      <w:pPr>
        <w:pStyle w:val="ListParagraph"/>
        <w:numPr>
          <w:ilvl w:val="0"/>
          <w:numId w:val="1"/>
        </w:numPr>
        <w:spacing w:after="80"/>
      </w:pPr>
      <w:r>
        <w:rPr>
          <w:rFonts w:ascii="Calibri" w:cs="Calibri" w:eastAsia="Calibri" w:hAnsi="Calibri"/>
          <w:sz w:val="22"/>
          <w:szCs w:val="22"/>
        </w:rPr>
        <w:t xml:space="preserve">Corregir la ruta "Docs/00_project/" del Anexo 3.2.1 por "Docs/FASE 1/", y reconciliar el conteo de pruebas automatizadas (189 frente a 190) usando una sola cifra verificada por ejecución directa de pytest.</w:t>
      </w:r>
    </w:p>
    <w:p>
      <w:pPr>
        <w:pStyle w:val="ListParagraph"/>
        <w:numPr>
          <w:ilvl w:val="0"/>
          <w:numId w:val="1"/>
        </w:numPr>
        <w:spacing w:after="80"/>
      </w:pPr>
      <w:r>
        <w:rPr>
          <w:rFonts w:ascii="Calibri" w:cs="Calibri" w:eastAsia="Calibri" w:hAnsi="Calibri"/>
          <w:sz w:val="22"/>
          <w:szCs w:val="22"/>
        </w:rPr>
        <w:t xml:space="preserve">Sustentar la cifra de "12 brechas funcionales" con una tabla explícita y enumerada dentro de la matriz de trazabilidad, en vez de una cifra agregada no verificable directamente.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2026-07-20T19:13:19.658Z</dcterms:created>
  <dcterms:modified xsi:type="dcterms:W3CDTF">2026-07-20T19:13:19.659Z</dcterms:modified>
</cp:coreProperties>
</file>

<file path=docProps/custom.xml><?xml version="1.0" encoding="utf-8"?>
<Properties xmlns="http://schemas.openxmlformats.org/officeDocument/2006/custom-properties" xmlns:vt="http://schemas.openxmlformats.org/officeDocument/2006/docPropsVTypes"/>
</file>