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8F86"/>
          <w:spacing w:val="40"/>
          <w:sz w:val="17"/>
          <w:szCs w:val="17"/>
        </w:rPr>
        <w:t xml:space="preserve">A PRODUCT-BUILDER CASE STUDY</w:t>
      </w:r>
    </w:p>
    <w:p>
      <w:pPr>
        <w:spacing w:after="160" w:line="460"/>
      </w:pPr>
      <w:r>
        <w:rPr>
          <w:rFonts w:ascii="Calibri" w:cs="Calibri" w:eastAsia="Calibri" w:hAnsi="Calibri"/>
          <w:b/>
          <w:bCs/>
          <w:color w:val="171B22"/>
          <w:sz w:val="56"/>
          <w:szCs w:val="56"/>
        </w:rPr>
        <w:t xml:space="preserve">A Protocol Is Not a Product</w:t>
      </w:r>
    </w:p>
    <w:p>
      <w:pPr>
        <w:spacing w:after="200" w:line="340"/>
      </w:pPr>
      <w:r>
        <w:rPr>
          <w:rFonts w:ascii="Cambria" w:cs="Cambria" w:eastAsia="Cambria" w:hAnsi="Cambria"/>
          <w:i/>
          <w:iCs/>
          <w:color w:val="4B5568"/>
          <w:sz w:val="26"/>
          <w:szCs w:val="26"/>
        </w:rPr>
        <w:t xml:space="preserve">I found an MCP server on PyPI. Installing it took ninety seconds. Everything that made it useful took the rest of the week.</w:t>
      </w:r>
    </w:p>
    <w:p>
      <w:pPr>
        <w:pBdr>
          <w:bottom w:val="single" w:color="D6DCE5" w:sz="4" w:space="1"/>
        </w:pBdr>
        <w:spacing w:after="260" w:before="200"/>
      </w:pPr>
      <w:r>
        <w:t xml:space="preserve"/>
      </w:r>
    </w:p>
    <w:p>
      <w:pPr>
        <w:spacing w:after="160" w:line="300"/>
      </w:pPr>
      <w:r>
        <w:rPr>
          <w:rFonts w:ascii="Cambria" w:cs="Cambria" w:eastAsia="Cambria" w:hAnsi="Cambria"/>
          <w:color w:val="171B22"/>
          <w:sz w:val="22"/>
          <w:szCs w:val="22"/>
        </w:rPr>
        <w:t xml:space="preserve">A few weeks ago I came across </w:t>
      </w:r>
      <w:r>
        <w:rPr>
          <w:rFonts w:ascii="Cambria" w:cs="Cambria" w:eastAsia="Cambria" w:hAnsi="Cambria"/>
          <w:b/>
          <w:bCs/>
          <w:color w:val="171B22"/>
          <w:sz w:val="22"/>
          <w:szCs w:val="22"/>
        </w:rPr>
        <w:t xml:space="preserve">qualys-cli-mcp</w:t>
      </w:r>
      <w:r>
        <w:rPr>
          <w:rFonts w:ascii="Cambria" w:cs="Cambria" w:eastAsia="Cambria" w:hAnsi="Cambria"/>
          <w:color w:val="171B22"/>
          <w:sz w:val="22"/>
          <w:szCs w:val="22"/>
        </w:rPr>
        <w:t xml:space="preserve"> — the official Model Context Protocol server for the Qualys Cloud Platform. Version 0.1.2. Beta. MIT licensed. Sixteen typed tools across twelve modules, plus a generic passthrough. One install command and a four-line config entry, and an LLM can talk to Vulnerability Management, Policy Compliance, Patch Management, Web Application Scanning, TotalCloud, Container Security, CSAM and Cloud Agent.</w:t>
      </w:r>
    </w:p>
    <w:p>
      <w:pPr>
        <w:spacing w:after="160" w:line="300"/>
      </w:pPr>
      <w:r>
        <w:rPr>
          <w:rFonts w:ascii="Cambria" w:cs="Cambria" w:eastAsia="Cambria" w:hAnsi="Cambria"/>
          <w:color w:val="171B22"/>
          <w:sz w:val="22"/>
          <w:szCs w:val="22"/>
        </w:rPr>
        <w:t xml:space="preserve">Most people would stop there, post a screenshot of a chatbot answering a CVE question, and call it an integration.</w:t>
      </w:r>
    </w:p>
    <w:p>
      <w:pPr>
        <w:spacing w:after="160" w:line="300"/>
      </w:pPr>
      <w:r>
        <w:rPr>
          <w:rFonts w:ascii="Cambria" w:cs="Cambria" w:eastAsia="Cambria" w:hAnsi="Cambria"/>
          <w:color w:val="171B22"/>
          <w:sz w:val="22"/>
          <w:szCs w:val="22"/>
        </w:rPr>
        <w:t xml:space="preserve">That screenshot is not a product. It is a party trick.</w:t>
      </w:r>
    </w:p>
    <w:p>
      <w:pPr>
        <w:spacing w:after="160" w:line="300"/>
      </w:pPr>
      <w:r>
        <w:rPr>
          <w:rFonts w:ascii="Cambria" w:cs="Cambria" w:eastAsia="Cambria" w:hAnsi="Cambria"/>
          <w:color w:val="171B22"/>
          <w:sz w:val="22"/>
          <w:szCs w:val="22"/>
        </w:rPr>
        <w:t xml:space="preserve">The interesting question — the one that is actually a product manager's job — is what sits between “this capability exists” and “a CISO would sign off on the output.” I spent a week in that gap. This is what was in it.</w:t>
      </w:r>
    </w:p>
    <w:p>
      <w:pPr>
        <w:pStyle w:val="Heading1"/>
        <w:spacing w:after="180" w:before="420"/>
      </w:pPr>
      <w:r>
        <w:rPr>
          <w:rFonts w:ascii="Calibri" w:cs="Calibri" w:eastAsia="Calibri" w:hAnsi="Calibri"/>
          <w:b/>
          <w:bCs/>
          <w:color w:val="1B8F86"/>
          <w:sz w:val="30"/>
          <w:szCs w:val="30"/>
        </w:rPr>
        <w:t xml:space="preserve">The capability was never the blocker</w:t>
      </w:r>
    </w:p>
    <w:p>
      <w:pPr>
        <w:spacing w:after="160" w:line="300"/>
      </w:pPr>
      <w:r>
        <w:rPr>
          <w:rFonts w:ascii="Cambria" w:cs="Cambria" w:eastAsia="Cambria" w:hAnsi="Cambria"/>
          <w:color w:val="171B22"/>
          <w:sz w:val="22"/>
          <w:szCs w:val="22"/>
        </w:rPr>
        <w:t xml:space="preserve">The first thing I did was resist the urge to build. I read the spec end to end and asked a different question: if this is so easy to install, why hasn't every security team already pointed an LLM at their security data?</w:t>
      </w:r>
    </w:p>
    <w:p>
      <w:pPr>
        <w:spacing w:after="160" w:line="300"/>
      </w:pPr>
      <w:r>
        <w:rPr>
          <w:rFonts w:ascii="Cambria" w:cs="Cambria" w:eastAsia="Cambria" w:hAnsi="Cambria"/>
          <w:color w:val="171B22"/>
          <w:sz w:val="22"/>
          <w:szCs w:val="22"/>
        </w:rPr>
        <w:t xml:space="preserve">The answer has nothing to do with capability. It comes down to three things, and every one of them is a trust question.</w:t>
      </w:r>
    </w:p>
    <w:p>
      <w:pPr>
        <w:pStyle w:val="ListParagraph"/>
        <w:numPr>
          <w:ilvl w:val="0"/>
          <w:numId w:val="2"/>
        </w:numPr>
        <w:spacing w:after="120" w:line="300"/>
      </w:pPr>
      <w:r>
        <w:rPr>
          <w:rFonts w:ascii="Cambria" w:cs="Cambria" w:eastAsia="Cambria" w:hAnsi="Cambria"/>
          <w:b/>
          <w:bCs/>
          <w:color w:val="171B22"/>
          <w:sz w:val="22"/>
          <w:szCs w:val="22"/>
        </w:rPr>
        <w:t xml:space="preserve">Credentials. </w:t>
      </w:r>
      <w:r>
        <w:rPr>
          <w:rFonts w:ascii="Cambria" w:cs="Cambria" w:eastAsia="Cambria" w:hAnsi="Cambria"/>
          <w:color w:val="171B22"/>
          <w:sz w:val="22"/>
          <w:szCs w:val="22"/>
        </w:rPr>
        <w:t xml:space="preserve">Who holds the keys? Nobody is handing an API secret to a language model.</w:t>
      </w:r>
    </w:p>
    <w:p>
      <w:pPr>
        <w:pStyle w:val="ListParagraph"/>
        <w:numPr>
          <w:ilvl w:val="0"/>
          <w:numId w:val="2"/>
        </w:numPr>
        <w:spacing w:after="120" w:line="300"/>
      </w:pPr>
      <w:r>
        <w:rPr>
          <w:rFonts w:ascii="Cambria" w:cs="Cambria" w:eastAsia="Cambria" w:hAnsi="Cambria"/>
          <w:b/>
          <w:bCs/>
          <w:color w:val="171B22"/>
          <w:sz w:val="22"/>
          <w:szCs w:val="22"/>
        </w:rPr>
        <w:t xml:space="preserve">Blast radius. </w:t>
      </w:r>
      <w:r>
        <w:rPr>
          <w:rFonts w:ascii="Cambria" w:cs="Cambria" w:eastAsia="Cambria" w:hAnsi="Cambria"/>
          <w:color w:val="171B22"/>
          <w:sz w:val="22"/>
          <w:szCs w:val="22"/>
        </w:rPr>
        <w:t xml:space="preserve">What can it break? “Read-only” cannot be a promise made in a prompt.</w:t>
      </w:r>
    </w:p>
    <w:p>
      <w:pPr>
        <w:pStyle w:val="ListParagraph"/>
        <w:numPr>
          <w:ilvl w:val="0"/>
          <w:numId w:val="2"/>
        </w:numPr>
        <w:spacing w:after="120" w:line="300"/>
      </w:pPr>
      <w:r>
        <w:rPr>
          <w:rFonts w:ascii="Cambria" w:cs="Cambria" w:eastAsia="Cambria" w:hAnsi="Cambria"/>
          <w:b/>
          <w:bCs/>
          <w:color w:val="171B22"/>
          <w:sz w:val="22"/>
          <w:szCs w:val="22"/>
        </w:rPr>
        <w:t xml:space="preserve">Provenance. </w:t>
      </w:r>
      <w:r>
        <w:rPr>
          <w:rFonts w:ascii="Cambria" w:cs="Cambria" w:eastAsia="Cambria" w:hAnsi="Cambria"/>
          <w:color w:val="171B22"/>
          <w:sz w:val="22"/>
          <w:szCs w:val="22"/>
        </w:rPr>
        <w:t xml:space="preserve">Prove what it did. A security answer with no evidence trail is a rumour with good grammar.</w:t>
      </w:r>
    </w:p>
    <w:p>
      <w:pPr>
        <w:spacing w:after="160" w:line="300"/>
      </w:pPr>
      <w:r>
        <w:rPr>
          <w:rFonts w:ascii="Cambria" w:cs="Cambria" w:eastAsia="Cambria" w:hAnsi="Cambria"/>
          <w:color w:val="171B22"/>
          <w:sz w:val="22"/>
          <w:szCs w:val="22"/>
        </w:rPr>
        <w:t xml:space="preserve">Then I went back to the spec, and there it was. Credentials live in the OS keyring and are redacted out of tool output. </w:t>
      </w:r>
      <w:r>
        <w:rPr>
          <w:rFonts w:ascii="Cambria" w:cs="Cambria" w:eastAsia="Cambria" w:hAnsi="Cambria"/>
          <w:b/>
          <w:bCs/>
          <w:color w:val="171B22"/>
          <w:sz w:val="22"/>
          <w:szCs w:val="22"/>
        </w:rPr>
        <w:t xml:space="preserve">QUALYS_MCP_DENY_WRITE=1</w:t>
      </w:r>
      <w:r>
        <w:rPr>
          <w:rFonts w:ascii="Cambria" w:cs="Cambria" w:eastAsia="Cambria" w:hAnsi="Cambria"/>
          <w:color w:val="171B22"/>
          <w:sz w:val="22"/>
          <w:szCs w:val="22"/>
        </w:rPr>
        <w:t xml:space="preserve"> forces read-only at the server, not in the prompt. </w:t>
      </w:r>
      <w:r>
        <w:rPr>
          <w:rFonts w:ascii="Cambria" w:cs="Cambria" w:eastAsia="Cambria" w:hAnsi="Cambria"/>
          <w:b/>
          <w:bCs/>
          <w:color w:val="171B22"/>
          <w:sz w:val="22"/>
          <w:szCs w:val="22"/>
        </w:rPr>
        <w:t xml:space="preserve">QUALYS_MCP_ALLOWED_MODULES</w:t>
      </w:r>
      <w:r>
        <w:rPr>
          <w:rFonts w:ascii="Cambria" w:cs="Cambria" w:eastAsia="Cambria" w:hAnsi="Cambria"/>
          <w:color w:val="171B22"/>
          <w:sz w:val="22"/>
          <w:szCs w:val="22"/>
        </w:rPr>
        <w:t xml:space="preserve"> bounds a session to the modules you name. And every single tool call is written to an append-only JSONL audit log, by default.</w:t>
      </w:r>
    </w:p>
    <w:p>
      <w:pPr>
        <w:spacing w:after="160" w:line="300"/>
      </w:pPr>
      <w:r>
        <w:rPr>
          <w:rFonts w:ascii="Cambria" w:cs="Cambria" w:eastAsia="Cambria" w:hAnsi="Cambria"/>
          <w:color w:val="171B22"/>
          <w:sz w:val="22"/>
          <w:szCs w:val="22"/>
        </w:rPr>
        <w:t xml:space="preserve">The server had quietly answered all three. That is the moment it stopped being a toy in my head and started being a platform — not because of what it could do, but because of what it made safe.</w:t>
      </w:r>
    </w:p>
    <w:p>
      <w:pPr>
        <w:spacing w:after="160" w:line="300"/>
      </w:pPr>
      <w:r>
        <w:rPr>
          <w:rFonts w:ascii="Cambria" w:cs="Cambria" w:eastAsia="Cambria" w:hAnsi="Cambria"/>
          <w:color w:val="171B22"/>
          <w:sz w:val="22"/>
          <w:szCs w:val="22"/>
        </w:rPr>
        <w:t xml:space="preserve">Reading the guardrails as the value proposition, rather than the fine print, was the first real product decision in the whole exercise.</w:t>
      </w:r>
    </w:p>
    <w:p>
      <w:pPr>
        <w:pStyle w:val="Heading1"/>
        <w:spacing w:after="180" w:before="420"/>
      </w:pPr>
      <w:r>
        <w:rPr>
          <w:rFonts w:ascii="Calibri" w:cs="Calibri" w:eastAsia="Calibri" w:hAnsi="Calibri"/>
          <w:b/>
          <w:bCs/>
          <w:color w:val="1B8F86"/>
          <w:sz w:val="30"/>
          <w:szCs w:val="30"/>
        </w:rPr>
        <w:t xml:space="preserve">Eleven doors, and the discipline to open one</w:t>
      </w:r>
    </w:p>
    <w:p>
      <w:pPr>
        <w:spacing w:after="160" w:line="300"/>
      </w:pPr>
      <w:r>
        <w:rPr>
          <w:rFonts w:ascii="Cambria" w:cs="Cambria" w:eastAsia="Cambria" w:hAnsi="Cambria"/>
          <w:color w:val="171B22"/>
          <w:sz w:val="22"/>
          <w:szCs w:val="22"/>
        </w:rPr>
        <w:t xml:space="preserve">The documentation lists roughly eleven things you can do with the server. Conversational vulnerability triage. Compliance posture Q&amp;A. Container image gates. Patch prioritisation. Cloud misconfiguration review. Agent coverage checks. And so on.</w:t>
      </w:r>
    </w:p>
    <w:p>
      <w:pPr>
        <w:spacing w:after="160" w:line="300"/>
      </w:pPr>
      <w:r>
        <w:rPr>
          <w:rFonts w:ascii="Cambria" w:cs="Cambria" w:eastAsia="Cambria" w:hAnsi="Cambria"/>
          <w:color w:val="171B22"/>
          <w:sz w:val="22"/>
          <w:szCs w:val="22"/>
        </w:rPr>
        <w:t xml:space="preserve">Listing them is the easy half. Anyone can produce a use-case grid. The job is picking one and being able to defend the cut when someone senior asks why.</w:t>
      </w:r>
    </w:p>
    <w:p>
      <w:pPr>
        <w:spacing w:after="160" w:line="300"/>
      </w:pPr>
      <w:r>
        <w:rPr>
          <w:rFonts w:ascii="Cambria" w:cs="Cambria" w:eastAsia="Cambria" w:hAnsi="Cambria"/>
          <w:color w:val="171B22"/>
          <w:sz w:val="22"/>
          <w:szCs w:val="22"/>
        </w:rPr>
        <w:t xml:space="preserve">So I wrote the criteria down before I scored anything, which is the only way to keep the exercise from being reverse-engineered from the answer you already wanted.</w:t>
      </w:r>
    </w:p>
    <w:p>
      <w:pPr>
        <w:pStyle w:val="ListParagraph"/>
        <w:numPr>
          <w:ilvl w:val="0"/>
          <w:numId w:val="3"/>
        </w:numPr>
        <w:spacing w:after="120" w:line="300"/>
      </w:pPr>
      <w:r>
        <w:rPr>
          <w:rFonts w:ascii="Cambria" w:cs="Cambria" w:eastAsia="Cambria" w:hAnsi="Cambria"/>
          <w:color w:val="171B22"/>
          <w:sz w:val="22"/>
          <w:szCs w:val="22"/>
        </w:rPr>
        <w:t xml:space="preserve">Does it need a </w:t>
      </w:r>
      <w:r>
        <w:rPr>
          <w:rFonts w:ascii="Cambria" w:cs="Cambria" w:eastAsia="Cambria" w:hAnsi="Cambria"/>
          <w:b/>
          <w:bCs/>
          <w:color w:val="171B22"/>
          <w:sz w:val="22"/>
          <w:szCs w:val="22"/>
        </w:rPr>
        <w:t xml:space="preserve">cross-module join</w:t>
      </w:r>
      <w:r>
        <w:rPr>
          <w:rFonts w:ascii="Cambria" w:cs="Cambria" w:eastAsia="Cambria" w:hAnsi="Cambria"/>
          <w:color w:val="171B22"/>
          <w:sz w:val="22"/>
          <w:szCs w:val="22"/>
        </w:rPr>
        <w:t xml:space="preserve"> that no single Qualys screen gives you today?</w:t>
      </w:r>
    </w:p>
    <w:p>
      <w:pPr>
        <w:pStyle w:val="ListParagraph"/>
        <w:numPr>
          <w:ilvl w:val="0"/>
          <w:numId w:val="3"/>
        </w:numPr>
        <w:spacing w:after="120" w:line="300"/>
      </w:pPr>
      <w:r>
        <w:rPr>
          <w:rFonts w:ascii="Cambria" w:cs="Cambria" w:eastAsia="Cambria" w:hAnsi="Cambria"/>
          <w:color w:val="171B22"/>
          <w:sz w:val="22"/>
          <w:szCs w:val="22"/>
        </w:rPr>
        <w:t xml:space="preserve">Does it exercise the </w:t>
      </w:r>
      <w:r>
        <w:rPr>
          <w:rFonts w:ascii="Cambria" w:cs="Cambria" w:eastAsia="Cambria" w:hAnsi="Cambria"/>
          <w:b/>
          <w:bCs/>
          <w:color w:val="171B22"/>
          <w:sz w:val="22"/>
          <w:szCs w:val="22"/>
        </w:rPr>
        <w:t xml:space="preserve">governance layer</w:t>
      </w:r>
      <w:r>
        <w:rPr>
          <w:rFonts w:ascii="Cambria" w:cs="Cambria" w:eastAsia="Cambria" w:hAnsi="Cambria"/>
          <w:color w:val="171B22"/>
          <w:sz w:val="22"/>
          <w:szCs w:val="22"/>
        </w:rPr>
        <w:t xml:space="preserve"> — the thing that is actually hard to copy?</w:t>
      </w:r>
    </w:p>
    <w:p>
      <w:pPr>
        <w:pStyle w:val="ListParagraph"/>
        <w:numPr>
          <w:ilvl w:val="0"/>
          <w:numId w:val="3"/>
        </w:numPr>
        <w:spacing w:after="120" w:line="300"/>
      </w:pPr>
      <w:r>
        <w:rPr>
          <w:rFonts w:ascii="Cambria" w:cs="Cambria" w:eastAsia="Cambria" w:hAnsi="Cambria"/>
          <w:color w:val="171B22"/>
          <w:sz w:val="22"/>
          <w:szCs w:val="22"/>
        </w:rPr>
        <w:t xml:space="preserve">Does it replace a </w:t>
      </w:r>
      <w:r>
        <w:rPr>
          <w:rFonts w:ascii="Cambria" w:cs="Cambria" w:eastAsia="Cambria" w:hAnsi="Cambria"/>
          <w:b/>
          <w:bCs/>
          <w:color w:val="171B22"/>
          <w:sz w:val="22"/>
          <w:szCs w:val="22"/>
        </w:rPr>
        <w:t xml:space="preserve">named, recurring ritual</w:t>
      </w:r>
      <w:r>
        <w:rPr>
          <w:rFonts w:ascii="Cambria" w:cs="Cambria" w:eastAsia="Cambria" w:hAnsi="Cambria"/>
          <w:color w:val="171B22"/>
          <w:sz w:val="22"/>
          <w:szCs w:val="22"/>
        </w:rPr>
        <w:t xml:space="preserve"> that someone is doing badly right now?</w:t>
      </w:r>
    </w:p>
    <w:p>
      <w:pPr>
        <w:pStyle w:val="ListParagraph"/>
        <w:numPr>
          <w:ilvl w:val="0"/>
          <w:numId w:val="3"/>
        </w:numPr>
        <w:spacing w:after="120" w:line="300"/>
      </w:pPr>
      <w:r>
        <w:rPr>
          <w:rFonts w:ascii="Cambria" w:cs="Cambria" w:eastAsia="Cambria" w:hAnsi="Cambria"/>
          <w:color w:val="171B22"/>
          <w:sz w:val="22"/>
          <w:szCs w:val="22"/>
        </w:rPr>
        <w:t xml:space="preserve">Does it come with a </w:t>
      </w:r>
      <w:r>
        <w:rPr>
          <w:rFonts w:ascii="Cambria" w:cs="Cambria" w:eastAsia="Cambria" w:hAnsi="Cambria"/>
          <w:b/>
          <w:bCs/>
          <w:color w:val="171B22"/>
          <w:sz w:val="22"/>
          <w:szCs w:val="22"/>
        </w:rPr>
        <w:t xml:space="preserve">second audience</w:t>
      </w:r>
      <w:r>
        <w:rPr>
          <w:rFonts w:ascii="Cambria" w:cs="Cambria" w:eastAsia="Cambria" w:hAnsi="Cambria"/>
          <w:color w:val="171B22"/>
          <w:sz w:val="22"/>
          <w:szCs w:val="22"/>
        </w:rPr>
        <w:t xml:space="preserve"> already built in?</w:t>
      </w:r>
    </w:p>
    <w:p>
      <w:pPr>
        <w:spacing w:after="160" w:line="300"/>
      </w:pPr>
      <w:r>
        <w:rPr>
          <w:rFonts w:ascii="Cambria" w:cs="Cambria" w:eastAsia="Cambria" w:hAnsi="Cambria"/>
          <w:color w:val="171B22"/>
          <w:sz w:val="22"/>
          <w:szCs w:val="22"/>
        </w:rPr>
        <w:t xml:space="preserve">Exactly one candidate scored on all four: a </w:t>
      </w:r>
      <w:r>
        <w:rPr>
          <w:rFonts w:ascii="Cambria" w:cs="Cambria" w:eastAsia="Cambria" w:hAnsi="Cambria"/>
          <w:b/>
          <w:bCs/>
          <w:color w:val="171B22"/>
          <w:sz w:val="22"/>
          <w:szCs w:val="22"/>
        </w:rPr>
        <w:t xml:space="preserve">Unified Cross-Domain Risk Prioritisation Copilot</w:t>
      </w:r>
      <w:r>
        <w:rPr>
          <w:rFonts w:ascii="Cambria" w:cs="Cambria" w:eastAsia="Cambria" w:hAnsi="Cambria"/>
          <w:color w:val="171B22"/>
          <w:sz w:val="22"/>
          <w:szCs w:val="22"/>
        </w:rPr>
        <w:t xml:space="preserve">. Everything else — the triage bot, the container gate, the compliance Q&amp;A — is a single-module convenience. Useful. Not a product.</w:t>
      </w:r>
    </w:p>
    <w:p>
      <w:pPr>
        <w:spacing w:after="160" w:line="300"/>
      </w:pPr>
      <w:r>
        <w:rPr>
          <w:rFonts w:ascii="Cambria" w:cs="Cambria" w:eastAsia="Cambria" w:hAnsi="Cambria"/>
          <w:color w:val="171B22"/>
          <w:sz w:val="22"/>
          <w:szCs w:val="22"/>
        </w:rPr>
        <w:t xml:space="preserve">The ritual it replaces is the one every security org has: the Monday morning risk report for leadership. Assembled by hand. Delivered as a spreadsheet. Defensible to the board, provable to nobody.</w:t>
      </w:r>
    </w:p>
    <w:p>
      <w:pPr>
        <w:pStyle w:val="Heading1"/>
        <w:spacing w:after="180" w:before="420"/>
      </w:pPr>
      <w:r>
        <w:rPr>
          <w:rFonts w:ascii="Calibri" w:cs="Calibri" w:eastAsia="Calibri" w:hAnsi="Calibri"/>
          <w:b/>
          <w:bCs/>
          <w:color w:val="1B8F86"/>
          <w:sz w:val="30"/>
          <w:szCs w:val="30"/>
        </w:rPr>
        <w:t xml:space="preserve">Designing the workflow as a join, not a query list</w:t>
      </w:r>
    </w:p>
    <w:p>
      <w:pPr>
        <w:spacing w:after="160" w:line="300"/>
      </w:pPr>
      <w:r>
        <w:rPr>
          <w:rFonts w:ascii="Cambria" w:cs="Cambria" w:eastAsia="Cambria" w:hAnsi="Cambria"/>
          <w:color w:val="171B22"/>
          <w:sz w:val="22"/>
          <w:szCs w:val="22"/>
        </w:rPr>
        <w:t xml:space="preserve">The distinction sounds academic. It is the whole thing.</w:t>
      </w:r>
    </w:p>
    <w:p>
      <w:pPr>
        <w:spacing w:after="160" w:line="300"/>
      </w:pPr>
      <w:r>
        <w:rPr>
          <w:rFonts w:ascii="Cambria" w:cs="Cambria" w:eastAsia="Cambria" w:hAnsi="Cambria"/>
          <w:color w:val="171B22"/>
          <w:sz w:val="22"/>
          <w:szCs w:val="22"/>
        </w:rPr>
        <w:t xml:space="preserve">Eight separate answers about one asset is not an answer. It is homework. The copilot has to chain.</w:t>
      </w:r>
    </w:p>
    <w:p>
      <w:pPr>
        <w:spacing w:after="160" w:line="300"/>
      </w:pPr>
      <w:r>
        <w:rPr>
          <w:rFonts w:ascii="Cambria" w:cs="Cambria" w:eastAsia="Cambria" w:hAnsi="Cambria"/>
          <w:color w:val="171B22"/>
          <w:sz w:val="22"/>
          <w:szCs w:val="22"/>
        </w:rPr>
        <w:t xml:space="preserve">Start with CSAM to rank what matters. Take that list to VM and the KnowledgeBase to turn bare CVE IDs into a risk narrative. Cross-check Policy Compliance for failing controls that compound the exposure. Branch by asset type — WAS if it is a web app, TotalCloud if it is cloud-hosted, Container Security if it runs images. Then Patch Management, to ask the only question the analyst actually cares about: is a fix already in flight, or does someone need to schedule one?</w:t>
      </w:r>
    </w:p>
    <w:p>
      <w:pPr>
        <w:spacing w:after="160" w:line="300"/>
      </w:pPr>
      <w:r>
        <w:rPr>
          <w:rFonts w:ascii="Cambria" w:cs="Cambria" w:eastAsia="Cambria" w:hAnsi="Cambria"/>
          <w:color w:val="171B22"/>
          <w:sz w:val="22"/>
          <w:szCs w:val="22"/>
        </w:rPr>
        <w:t xml:space="preserve">One asset, five modules, one story. In my prototype, the top-ranked asset scores 96, and the chain reads: VM finds Log4Shell with confirmed active exploitation. WAS finds SQL injection on the checkout path. Policy Compliance finds SSH root login still enabled. Cloud Agent confirms we can actually see the host. Patch Management says a remediation job exists — and has not run.</w:t>
      </w:r>
    </w:p>
    <w:p>
      <w:pPr>
        <w:spacing w:after="160" w:line="300"/>
      </w:pPr>
      <w:r>
        <w:rPr>
          <w:rFonts w:ascii="Cambria" w:cs="Cambria" w:eastAsia="Cambria" w:hAnsi="Cambria"/>
          <w:color w:val="171B22"/>
          <w:sz w:val="22"/>
          <w:szCs w:val="22"/>
        </w:rPr>
        <w:t xml:space="preserve">No single Qualys screen tells you that. No single analyst assembles it in under an hour. The copilot does it in one conversation, and it shows its work for every claim.</w:t>
      </w:r>
    </w:p>
    <w:p>
      <w:pPr>
        <w:pStyle w:val="Heading1"/>
        <w:spacing w:after="180" w:before="420"/>
      </w:pPr>
      <w:r>
        <w:rPr>
          <w:rFonts w:ascii="Calibri" w:cs="Calibri" w:eastAsia="Calibri" w:hAnsi="Calibri"/>
          <w:b/>
          <w:bCs/>
          <w:color w:val="1B8F86"/>
          <w:sz w:val="30"/>
          <w:szCs w:val="30"/>
        </w:rPr>
        <w:t xml:space="preserve">The idea that turned it from a demo into a product</w:t>
      </w:r>
    </w:p>
    <w:p>
      <w:pPr>
        <w:spacing w:after="160" w:line="300"/>
      </w:pPr>
      <w:r>
        <w:rPr>
          <w:rFonts w:ascii="Cambria" w:cs="Cambria" w:eastAsia="Cambria" w:hAnsi="Cambria"/>
          <w:color w:val="171B22"/>
          <w:sz w:val="22"/>
          <w:szCs w:val="22"/>
        </w:rPr>
        <w:t xml:space="preserve">Here is the part I am most pleased with, and it came from staring at the Cloud Agent module and asking what it was really for.</w:t>
      </w:r>
    </w:p>
    <w:p>
      <w:pPr>
        <w:spacing w:after="160" w:line="300"/>
      </w:pPr>
      <w:r>
        <w:rPr>
          <w:rFonts w:ascii="Cambria" w:cs="Cambria" w:eastAsia="Cambria" w:hAnsi="Cambria"/>
          <w:color w:val="171B22"/>
          <w:sz w:val="22"/>
          <w:szCs w:val="22"/>
        </w:rPr>
        <w:t xml:space="preserve">Every risk tool on earth reports findings. But an asset with no monitoring agent has </w:t>
      </w:r>
      <w:r>
        <w:rPr>
          <w:rFonts w:ascii="Cambria" w:cs="Cambria" w:eastAsia="Cambria" w:hAnsi="Cambria"/>
          <w:b/>
          <w:bCs/>
          <w:color w:val="171B22"/>
          <w:sz w:val="22"/>
          <w:szCs w:val="22"/>
        </w:rPr>
        <w:t xml:space="preserve">no findings</w:t>
      </w:r>
      <w:r>
        <w:rPr>
          <w:rFonts w:ascii="Cambria" w:cs="Cambria" w:eastAsia="Cambria" w:hAnsi="Cambria"/>
          <w:color w:val="171B22"/>
          <w:sz w:val="22"/>
          <w:szCs w:val="22"/>
        </w:rPr>
        <w:t xml:space="preserve"> — and in a ranked list, “no findings” sorts as low risk. The most dangerous assets in an estate are the ones the platform cannot see, and every dashboard in the industry politely files them at the bottom.</w:t>
      </w:r>
    </w:p>
    <w:p>
      <w:pPr>
        <w:spacing w:after="160" w:line="300"/>
      </w:pPr>
      <w:r>
        <w:rPr>
          <w:rFonts w:ascii="Cambria" w:cs="Cambria" w:eastAsia="Cambria" w:hAnsi="Cambria"/>
          <w:color w:val="171B22"/>
          <w:sz w:val="22"/>
          <w:szCs w:val="22"/>
        </w:rPr>
        <w:t xml:space="preserve">So I made the copilot report what it cannot see.</w:t>
      </w:r>
    </w:p>
    <w:p>
      <w:pPr>
        <w:spacing w:after="160" w:line="300"/>
      </w:pPr>
      <w:r>
        <w:rPr>
          <w:rFonts w:ascii="Cambria" w:cs="Cambria" w:eastAsia="Cambria" w:hAnsi="Cambria"/>
          <w:color w:val="171B22"/>
          <w:sz w:val="22"/>
          <w:szCs w:val="22"/>
        </w:rPr>
        <w:t xml:space="preserve">In my demo tenant, two of the five top-risk assets carry no Cloud Agent: an internet-facing VPN gateway and a production database. The copilot does not rank them low and move on. It says, out loud, that their scores are underestimates, and explains why.</w:t>
      </w:r>
    </w:p>
    <w:p>
      <w:pPr>
        <w:pBdr>
          <w:left w:val="single" w:color="1B8F86" w:sz="12" w:space="12"/>
        </w:pBdr>
        <w:spacing w:after="260" w:before="260" w:line="320"/>
        <w:ind w:left="504"/>
      </w:pPr>
      <w:r>
        <w:rPr>
          <w:rFonts w:ascii="Cambria" w:cs="Cambria" w:eastAsia="Cambria" w:hAnsi="Cambria"/>
          <w:i/>
          <w:iCs/>
          <w:color w:val="171B22"/>
          <w:sz w:val="24"/>
          <w:szCs w:val="24"/>
        </w:rPr>
        <w:t xml:space="preserve">A coverage gap is a finding. It should not be a blank row.</w:t>
      </w:r>
    </w:p>
    <w:p>
      <w:pPr>
        <w:pStyle w:val="Heading1"/>
        <w:spacing w:after="180" w:before="420"/>
      </w:pPr>
      <w:r>
        <w:rPr>
          <w:rFonts w:ascii="Calibri" w:cs="Calibri" w:eastAsia="Calibri" w:hAnsi="Calibri"/>
          <w:b/>
          <w:bCs/>
          <w:color w:val="1B8F86"/>
          <w:sz w:val="30"/>
          <w:szCs w:val="30"/>
        </w:rPr>
        <w:t xml:space="preserve">Governance is the packaging, not the fine print</w:t>
      </w:r>
    </w:p>
    <w:p>
      <w:pPr>
        <w:spacing w:after="160" w:line="300"/>
      </w:pPr>
      <w:r>
        <w:rPr>
          <w:rFonts w:ascii="Cambria" w:cs="Cambria" w:eastAsia="Cambria" w:hAnsi="Cambria"/>
          <w:color w:val="171B22"/>
          <w:sz w:val="22"/>
          <w:szCs w:val="22"/>
        </w:rPr>
        <w:t xml:space="preserve">Two environment variables — </w:t>
      </w:r>
      <w:r>
        <w:rPr>
          <w:rFonts w:ascii="Cambria" w:cs="Cambria" w:eastAsia="Cambria" w:hAnsi="Cambria"/>
          <w:b/>
          <w:bCs/>
          <w:color w:val="171B22"/>
          <w:sz w:val="22"/>
          <w:szCs w:val="22"/>
        </w:rPr>
        <w:t xml:space="preserve">ALLOWED_MODULES</w:t>
      </w:r>
      <w:r>
        <w:rPr>
          <w:rFonts w:ascii="Cambria" w:cs="Cambria" w:eastAsia="Cambria" w:hAnsi="Cambria"/>
          <w:color w:val="171B22"/>
          <w:sz w:val="22"/>
          <w:szCs w:val="22"/>
        </w:rPr>
        <w:t xml:space="preserve"> and </w:t>
      </w:r>
      <w:r>
        <w:rPr>
          <w:rFonts w:ascii="Cambria" w:cs="Cambria" w:eastAsia="Cambria" w:hAnsi="Cambria"/>
          <w:b/>
          <w:bCs/>
          <w:color w:val="171B22"/>
          <w:sz w:val="22"/>
          <w:szCs w:val="22"/>
        </w:rPr>
        <w:t xml:space="preserve">DENY_WRITE</w:t>
      </w:r>
      <w:r>
        <w:rPr>
          <w:rFonts w:ascii="Cambria" w:cs="Cambria" w:eastAsia="Cambria" w:hAnsi="Cambria"/>
          <w:color w:val="171B22"/>
          <w:sz w:val="22"/>
          <w:szCs w:val="22"/>
        </w:rPr>
        <w:t xml:space="preserve"> — and the same copilot becomes two different products.</w:t>
      </w:r>
    </w:p>
    <w:p>
      <w:pPr>
        <w:pStyle w:val="ListParagraph"/>
        <w:numPr>
          <w:ilvl w:val="0"/>
          <w:numId w:val="2"/>
        </w:numPr>
        <w:spacing w:after="120" w:line="300"/>
      </w:pPr>
      <w:r>
        <w:rPr>
          <w:rFonts w:ascii="Cambria" w:cs="Cambria" w:eastAsia="Cambria" w:hAnsi="Cambria"/>
          <w:b/>
          <w:bCs/>
          <w:color w:val="171B22"/>
          <w:sz w:val="22"/>
          <w:szCs w:val="22"/>
        </w:rPr>
        <w:t xml:space="preserve">Analyst profile. </w:t>
      </w:r>
      <w:r>
        <w:rPr>
          <w:rFonts w:ascii="Cambria" w:cs="Cambria" w:eastAsia="Cambria" w:hAnsi="Cambria"/>
          <w:color w:val="171B22"/>
          <w:sz w:val="22"/>
          <w:szCs w:val="22"/>
        </w:rPr>
        <w:t xml:space="preserve">All eight modules, read-only, full cross-module evidence chain. This is the Monday risk sweep.</w:t>
      </w:r>
    </w:p>
    <w:p>
      <w:pPr>
        <w:pStyle w:val="ListParagraph"/>
        <w:numPr>
          <w:ilvl w:val="0"/>
          <w:numId w:val="2"/>
        </w:numPr>
        <w:spacing w:after="120" w:line="300"/>
      </w:pPr>
      <w:r>
        <w:rPr>
          <w:rFonts w:ascii="Cambria" w:cs="Cambria" w:eastAsia="Cambria" w:hAnsi="Cambria"/>
          <w:b/>
          <w:bCs/>
          <w:color w:val="171B22"/>
          <w:sz w:val="22"/>
          <w:szCs w:val="22"/>
        </w:rPr>
        <w:t xml:space="preserve">Manager profile. </w:t>
      </w:r>
      <w:r>
        <w:rPr>
          <w:rFonts w:ascii="Cambria" w:cs="Cambria" w:eastAsia="Cambria" w:hAnsi="Cambria"/>
          <w:color w:val="171B22"/>
          <w:sz w:val="22"/>
          <w:szCs w:val="22"/>
        </w:rPr>
        <w:t xml:space="preserve">CSAM, VM and WAS only, read-only. This is the engineering manager who needs to know how risky their estate is and will never hold a Qualys seat.</w:t>
      </w:r>
    </w:p>
    <w:p>
      <w:pPr>
        <w:spacing w:after="160" w:line="300"/>
      </w:pPr>
      <w:r>
        <w:rPr>
          <w:rFonts w:ascii="Cambria" w:cs="Cambria" w:eastAsia="Cambria" w:hAnsi="Cambria"/>
          <w:color w:val="171B22"/>
          <w:sz w:val="22"/>
          <w:szCs w:val="22"/>
        </w:rPr>
        <w:t xml:space="preserve">And critically — when a module is out of scope, the interface does not silently drop it. It says: three modules hidden under the manager allowlist (PC, CA, PM). Restriction is a designed state, not an error state. The guardrail is visible in the product surface, not buried in a config file nobody opens.</w:t>
      </w:r>
    </w:p>
    <w:p>
      <w:pPr>
        <w:spacing w:after="160" w:line="300"/>
      </w:pPr>
      <w:r>
        <w:rPr>
          <w:rFonts w:ascii="Cambria" w:cs="Cambria" w:eastAsia="Cambria" w:hAnsi="Cambria"/>
          <w:color w:val="171B22"/>
          <w:sz w:val="22"/>
          <w:szCs w:val="22"/>
        </w:rPr>
        <w:t xml:space="preserve">Segmentation, in this design, costs a config change rather than a roadmap. That is not an accident of the platform. That is what happens when you treat the governance layer as the packaging.</w:t>
      </w:r>
    </w:p>
    <w:p>
      <w:pPr>
        <w:pStyle w:val="Heading1"/>
        <w:spacing w:after="180" w:before="420"/>
      </w:pPr>
      <w:r>
        <w:rPr>
          <w:rFonts w:ascii="Calibri" w:cs="Calibri" w:eastAsia="Calibri" w:hAnsi="Calibri"/>
          <w:b/>
          <w:bCs/>
          <w:color w:val="1B8F86"/>
          <w:sz w:val="30"/>
          <w:szCs w:val="30"/>
        </w:rPr>
        <w:t xml:space="preserve">I tried to make it do the wrong thing</w:t>
      </w:r>
    </w:p>
    <w:p>
      <w:pPr>
        <w:spacing w:after="160" w:line="300"/>
      </w:pPr>
      <w:r>
        <w:rPr>
          <w:rFonts w:ascii="Cambria" w:cs="Cambria" w:eastAsia="Cambria" w:hAnsi="Cambria"/>
          <w:color w:val="171B22"/>
          <w:sz w:val="22"/>
          <w:szCs w:val="22"/>
        </w:rPr>
        <w:t xml:space="preserve">Claims about guardrails are cheap. So I sent a write straight through the generic passthrough, on the Analyst profile — the one with everything unlocked.</w:t>
      </w:r>
    </w:p>
    <w:p>
      <w:pPr>
        <w:shd w:fill="F1F4F7" w:color="auto" w:val="clear"/>
        <w:spacing w:after="0" w:before="140" w:line="240"/>
        <w:ind w:left="201" w:right="201"/>
      </w:pPr>
      <w:r>
        <w:rPr>
          <w:rFonts w:ascii="Consolas" w:cs="Consolas" w:eastAsia="Consolas" w:hAnsi="Consolas"/>
          <w:b w:val="false"/>
          <w:bCs w:val="false"/>
          <w:color w:val="171B22"/>
          <w:sz w:val="18"/>
          <w:szCs w:val="18"/>
        </w:rPr>
        <w:t xml:space="preserve">$ curl -X POST localhost:5050/api/qualys-cli \</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-d '{"command":"pm patch apply --job Q3-log4j-remediation"}'</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w:t>
      </w:r>
    </w:p>
    <w:p>
      <w:pPr>
        <w:shd w:fill="F1F4F7" w:color="auto" w:val="clear"/>
        <w:spacing w:after="0" w:before="0" w:line="240"/>
        <w:ind w:left="201" w:right="201"/>
      </w:pPr>
      <w:r>
        <w:rPr>
          <w:rFonts w:ascii="Consolas" w:cs="Consolas" w:eastAsia="Consolas" w:hAnsi="Consolas"/>
          <w:b/>
          <w:bCs/>
          <w:color w:val="B03A22"/>
          <w:sz w:val="18"/>
          <w:szCs w:val="18"/>
        </w:rPr>
        <w:t xml:space="preserve">HTTP/1.1 403 Forbidden</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"output": "blocked: 'pm patch apply --job Q3-log4j-remediation'</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looks like a write operation and QUALYS_MCP_DENY_WRITE=1 is</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enforced for this session."</w:t>
      </w:r>
    </w:p>
    <w:p>
      <w:pPr>
        <w:shd w:fill="F1F4F7" w:color="auto" w:val="clear"/>
        <w:spacing w:after="200" w:before="0" w:line="240"/>
        <w:ind w:left="201" w:right="201"/>
      </w:pPr>
      <w:r>
        <w:rPr>
          <w:rFonts w:ascii="Consolas" w:cs="Consolas" w:eastAsia="Consolas" w:hAnsi="Consolas"/>
          <w:b w:val="false"/>
          <w:bCs w:val="false"/>
          <w:color w:val="171B22"/>
          <w:sz w:val="18"/>
          <w:szCs w:val="18"/>
        </w:rPr>
        <w:t xml:space="preserve">}</w:t>
      </w:r>
    </w:p>
    <w:p>
      <w:pPr>
        <w:spacing w:after="160" w:line="300"/>
      </w:pPr>
      <w:r>
        <w:rPr>
          <w:rFonts w:ascii="Cambria" w:cs="Cambria" w:eastAsia="Cambria" w:hAnsi="Cambria"/>
          <w:color w:val="171B22"/>
          <w:sz w:val="22"/>
          <w:szCs w:val="22"/>
        </w:rPr>
        <w:t xml:space="preserve">Read that carefully, because the important word is who.</w:t>
      </w:r>
    </w:p>
    <w:p>
      <w:pPr>
        <w:spacing w:after="160" w:line="300"/>
      </w:pPr>
      <w:r>
        <w:rPr>
          <w:rFonts w:ascii="Cambria" w:cs="Cambria" w:eastAsia="Cambria" w:hAnsi="Cambria"/>
          <w:b/>
          <w:bCs/>
          <w:color w:val="171B22"/>
          <w:sz w:val="22"/>
          <w:szCs w:val="22"/>
        </w:rPr>
        <w:t xml:space="preserve">The model did not refuse. The server refused.</w:t>
      </w:r>
      <w:r>
        <w:rPr>
          <w:rFonts w:ascii="Cambria" w:cs="Cambria" w:eastAsia="Cambria" w:hAnsi="Cambria"/>
          <w:color w:val="171B22"/>
          <w:sz w:val="22"/>
          <w:szCs w:val="22"/>
        </w:rPr>
        <w:t xml:space="preserve"> No prompt was consulted. No system message was appealed to. A regex on the command matched a write pattern, DENY_WRITE was set, and the request died at the boundary — on the Analyst profile, which has every module unlocked. There is no privileged path around it.</w:t>
      </w:r>
    </w:p>
    <w:p>
      <w:pPr>
        <w:spacing w:after="160" w:line="300"/>
      </w:pPr>
      <w:r>
        <w:rPr>
          <w:rFonts w:ascii="Cambria" w:cs="Cambria" w:eastAsia="Cambria" w:hAnsi="Cambria"/>
          <w:color w:val="171B22"/>
          <w:sz w:val="22"/>
          <w:szCs w:val="22"/>
        </w:rPr>
        <w:t xml:space="preserve">That is the difference between a control and a hope. A model that has been asked not to write is a model that will eventually write.</w:t>
      </w:r>
    </w:p>
    <w:p>
      <w:pPr>
        <w:pStyle w:val="Heading1"/>
        <w:spacing w:after="180" w:before="420"/>
      </w:pPr>
      <w:r>
        <w:rPr>
          <w:rFonts w:ascii="Calibri" w:cs="Calibri" w:eastAsia="Calibri" w:hAnsi="Calibri"/>
          <w:b/>
          <w:bCs/>
          <w:color w:val="1B8F86"/>
          <w:sz w:val="30"/>
          <w:szCs w:val="30"/>
        </w:rPr>
        <w:t xml:space="preserve">The audit log proves the negative</w:t>
      </w:r>
    </w:p>
    <w:p>
      <w:pPr>
        <w:spacing w:after="160" w:line="300"/>
      </w:pPr>
      <w:r>
        <w:rPr>
          <w:rFonts w:ascii="Cambria" w:cs="Cambria" w:eastAsia="Cambria" w:hAnsi="Cambria"/>
          <w:color w:val="171B22"/>
          <w:sz w:val="22"/>
          <w:szCs w:val="22"/>
        </w:rPr>
        <w:t xml:space="preserve">One line later, the same denied call shows up in the log.</w:t>
      </w:r>
    </w:p>
    <w:p>
      <w:pPr>
        <w:shd w:fill="F1F4F7" w:color="auto" w:val="clear"/>
        <w:spacing w:after="0" w:before="140" w:line="240"/>
        <w:ind w:left="201" w:right="201"/>
      </w:pPr>
      <w:r>
        <w:rPr>
          <w:rFonts w:ascii="Consolas" w:cs="Consolas" w:eastAsia="Consolas" w:hAnsi="Consolas"/>
          <w:b w:val="false"/>
          <w:bCs w:val="false"/>
          <w:color w:val="171B22"/>
          <w:sz w:val="18"/>
          <w:szCs w:val="18"/>
        </w:rPr>
        <w:t xml:space="preserve">{"ts":"2026-07-14T07:17:18Z", "tool":"qualys_cli",</w:t>
      </w:r>
    </w:p>
    <w:p>
      <w:pPr>
        <w:shd w:fill="F1F4F7" w:color="auto" w:val="clear"/>
        <w:spacing w:after="0" w:before="0" w:line="240"/>
        <w:ind w:left="201" w:right="201"/>
      </w:pPr>
      <w:r>
        <w:rPr>
          <w:rFonts w:ascii="Consolas" w:cs="Consolas" w:eastAsia="Consolas" w:hAnsi="Consolas"/>
          <w:b w:val="false"/>
          <w:bCs w:val="false"/>
          <w:color w:val="171B22"/>
          <w:sz w:val="18"/>
          <w:szCs w:val="18"/>
        </w:rPr>
        <w:t xml:space="preserve"> "module":"GENERIC", "mode":"read-only",</w:t>
      </w:r>
    </w:p>
    <w:p>
      <w:pPr>
        <w:shd w:fill="F1F4F7" w:color="auto" w:val="clear"/>
        <w:spacing w:after="200" w:before="0" w:line="240"/>
        <w:ind w:left="201" w:right="201"/>
      </w:pPr>
      <w:r>
        <w:rPr>
          <w:rFonts w:ascii="Consolas" w:cs="Consolas" w:eastAsia="Consolas" w:hAnsi="Consolas"/>
          <w:b/>
          <w:bCs/>
          <w:color w:val="B03A22"/>
          <w:sz w:val="18"/>
          <w:szCs w:val="18"/>
        </w:rPr>
        <w:t xml:space="preserve"> "result":"denied"}</w:t>
      </w:r>
    </w:p>
    <w:p>
      <w:pPr>
        <w:spacing w:after="160" w:line="300"/>
      </w:pPr>
      <w:r>
        <w:rPr>
          <w:rFonts w:ascii="Cambria" w:cs="Cambria" w:eastAsia="Cambria" w:hAnsi="Cambria"/>
          <w:color w:val="171B22"/>
          <w:sz w:val="22"/>
          <w:szCs w:val="22"/>
        </w:rPr>
        <w:t xml:space="preserve">It logged the attempt. Not just the success — the attempt.</w:t>
      </w:r>
    </w:p>
    <w:p>
      <w:pPr>
        <w:spacing w:after="160" w:line="300"/>
      </w:pPr>
      <w:r>
        <w:rPr>
          <w:rFonts w:ascii="Cambria" w:cs="Cambria" w:eastAsia="Cambria" w:hAnsi="Cambria"/>
          <w:color w:val="171B22"/>
          <w:sz w:val="22"/>
          <w:szCs w:val="22"/>
        </w:rPr>
        <w:t xml:space="preserve">And that turns the audit log into something more useful than a receipt. Run the Manager session and its trail is visibly shorter than the Analyst's: CSAM, VM, WAS, and nothing else. Which means you can hand an auditor the file and prove that the session never touched PC, TC, CS, PM or CA. Not “we configured it not to.” Not “the UI didn't show it.” It never happened, and here is the file.</w:t>
      </w:r>
    </w:p>
    <w:p>
      <w:pPr>
        <w:pBdr>
          <w:left w:val="single" w:color="1B8F86" w:sz="12" w:space="12"/>
        </w:pBdr>
        <w:spacing w:after="260" w:before="260" w:line="320"/>
        <w:ind w:left="504"/>
      </w:pPr>
      <w:r>
        <w:rPr>
          <w:rFonts w:ascii="Cambria" w:cs="Cambria" w:eastAsia="Cambria" w:hAnsi="Cambria"/>
          <w:i/>
          <w:iCs/>
          <w:color w:val="171B22"/>
          <w:sz w:val="24"/>
          <w:szCs w:val="24"/>
        </w:rPr>
        <w:t xml:space="preserve">Most audit logs record what happened. This one lets you prove what didn't.</w:t>
      </w:r>
    </w:p>
    <w:p>
      <w:pPr>
        <w:spacing w:after="160" w:line="300"/>
      </w:pPr>
      <w:r>
        <w:rPr>
          <w:rFonts w:ascii="Cambria" w:cs="Cambria" w:eastAsia="Cambria" w:hAnsi="Cambria"/>
          <w:color w:val="171B22"/>
          <w:sz w:val="22"/>
          <w:szCs w:val="22"/>
        </w:rPr>
        <w:t xml:space="preserve">That distinction is the whole difference between compliance theatre and an actual control — and it is the single feature I would lead with if I were selling this to a CISO.</w:t>
      </w:r>
    </w:p>
    <w:p>
      <w:pPr>
        <w:pStyle w:val="Heading1"/>
        <w:spacing w:after="180" w:before="420"/>
      </w:pPr>
      <w:r>
        <w:rPr>
          <w:rFonts w:ascii="Calibri" w:cs="Calibri" w:eastAsia="Calibri" w:hAnsi="Calibri"/>
          <w:b/>
          <w:bCs/>
          <w:color w:val="1B8F86"/>
          <w:sz w:val="30"/>
          <w:szCs w:val="30"/>
        </w:rPr>
        <w:t xml:space="preserve">What I will not claim</w:t>
      </w:r>
    </w:p>
    <w:p>
      <w:pPr>
        <w:spacing w:after="160" w:line="300"/>
      </w:pPr>
      <w:r>
        <w:rPr>
          <w:rFonts w:ascii="Cambria" w:cs="Cambria" w:eastAsia="Cambria" w:hAnsi="Cambria"/>
          <w:color w:val="171B22"/>
          <w:sz w:val="22"/>
          <w:szCs w:val="22"/>
        </w:rPr>
        <w:t xml:space="preserve">It runs. It is a Node server that enforces the allowlist, rejects writes, and writes its own audit log — the 403 above is real, and you can reproduce it. What it does </w:t>
      </w:r>
      <w:r>
        <w:rPr>
          <w:rFonts w:ascii="Cambria" w:cs="Cambria" w:eastAsia="Cambria" w:hAnsi="Cambria"/>
          <w:b/>
          <w:bCs/>
          <w:color w:val="171B22"/>
          <w:sz w:val="22"/>
          <w:szCs w:val="22"/>
        </w:rPr>
        <w:t xml:space="preserve">not</w:t>
      </w:r>
      <w:r>
        <w:rPr>
          <w:rFonts w:ascii="Cambria" w:cs="Cambria" w:eastAsia="Cambria" w:hAnsi="Cambria"/>
          <w:color w:val="171B22"/>
          <w:sz w:val="22"/>
          <w:szCs w:val="22"/>
        </w:rPr>
        <w:t xml:space="preserve"> have is a live Qualys tenant behind it. The data layer is local.</w:t>
      </w:r>
    </w:p>
    <w:p>
      <w:pPr>
        <w:spacing w:after="160" w:line="300"/>
      </w:pPr>
      <w:r>
        <w:rPr>
          <w:rFonts w:ascii="Cambria" w:cs="Cambria" w:eastAsia="Cambria" w:hAnsi="Cambria"/>
          <w:color w:val="171B22"/>
          <w:sz w:val="22"/>
          <w:szCs w:val="22"/>
        </w:rPr>
        <w:t xml:space="preserve">So the boundary is narrower than “it's a mockup,” and I want to state it precisely rather than modestly. The governance layer is executable. The data is not yet real.</w:t>
      </w:r>
    </w:p>
    <w:p>
      <w:pPr>
        <w:spacing w:after="160" w:line="300"/>
      </w:pPr>
      <w:r>
        <w:rPr>
          <w:rFonts w:ascii="Cambria" w:cs="Cambria" w:eastAsia="Cambria" w:hAnsi="Cambria"/>
          <w:color w:val="171B22"/>
          <w:sz w:val="22"/>
          <w:szCs w:val="22"/>
        </w:rPr>
        <w:t xml:space="preserve">What would production actually need? A live MCP session where the local data layer sits today. A latency and cost budget, because a cross-module join is a lot of tool calls. And — the one nobody wants to talk about — an evaluation harness for hallucination on risk claims, because a copilot that invents a CVE is worse than no copilot at all.</w:t>
      </w:r>
    </w:p>
    <w:p>
      <w:pPr>
        <w:spacing w:after="160" w:line="300"/>
      </w:pPr>
      <w:r>
        <w:rPr>
          <w:rFonts w:ascii="Cambria" w:cs="Cambria" w:eastAsia="Cambria" w:hAnsi="Cambria"/>
          <w:color w:val="171B22"/>
          <w:sz w:val="22"/>
          <w:szCs w:val="22"/>
        </w:rPr>
        <w:t xml:space="preserve">I could also have put a dollar figure on a slide. Plenty of people would have. But the moment you invent a number in a room full of security people, everything else you say becomes a number they have to check.</w:t>
      </w:r>
    </w:p>
    <w:p>
      <w:pPr>
        <w:spacing w:after="160" w:line="300"/>
      </w:pPr>
      <w:r>
        <w:rPr>
          <w:rFonts w:ascii="Cambria" w:cs="Cambria" w:eastAsia="Cambria" w:hAnsi="Cambria"/>
          <w:color w:val="171B22"/>
          <w:sz w:val="22"/>
          <w:szCs w:val="22"/>
        </w:rPr>
        <w:t xml:space="preserve">Naming your own gap is not a weakness in a product pitch. It is the thing that makes everything else you said believable.</w:t>
      </w:r>
    </w:p>
    <w:p>
      <w:pPr>
        <w:pStyle w:val="Heading1"/>
        <w:spacing w:after="180" w:before="420"/>
      </w:pPr>
      <w:r>
        <w:rPr>
          <w:rFonts w:ascii="Calibri" w:cs="Calibri" w:eastAsia="Calibri" w:hAnsi="Calibri"/>
          <w:b/>
          <w:bCs/>
          <w:color w:val="1B8F86"/>
          <w:sz w:val="30"/>
          <w:szCs w:val="30"/>
        </w:rPr>
        <w:t xml:space="preserve">The loop</w:t>
      </w:r>
    </w:p>
    <w:p>
      <w:pPr>
        <w:spacing w:after="160" w:line="300"/>
      </w:pPr>
      <w:r>
        <w:rPr>
          <w:rFonts w:ascii="Cambria" w:cs="Cambria" w:eastAsia="Cambria" w:hAnsi="Cambria"/>
          <w:color w:val="171B22"/>
          <w:sz w:val="22"/>
          <w:szCs w:val="22"/>
        </w:rPr>
        <w:t xml:space="preserve">Strip away the domain and this is what the week actually was:</w:t>
      </w:r>
    </w:p>
    <w:p>
      <w:pPr>
        <w:spacing w:after="160" w:line="300"/>
      </w:pPr>
      <w:r>
        <w:rPr>
          <w:rFonts w:ascii="Cambria" w:cs="Cambria" w:eastAsia="Cambria" w:hAnsi="Cambria"/>
          <w:color w:val="171B22"/>
          <w:sz w:val="22"/>
          <w:szCs w:val="22"/>
        </w:rPr>
        <w:t xml:space="preserve">Read the spec as a product surface, not a tool list. Find the adoption blocker, not the demo hook. Map the capability to business needs, not to features. Write the criteria down, then cut eleven to one. Design the workflow as a join. Build the surface until the guardrails actually run. Pressure-test them as a persona, not a setting — then try to break them yourself. Then say plainly what you have not proved.</w:t>
      </w:r>
    </w:p>
    <w:p>
      <w:pPr>
        <w:spacing w:after="160" w:line="300"/>
      </w:pPr>
      <w:r>
        <w:rPr>
          <w:rFonts w:ascii="Cambria" w:cs="Cambria" w:eastAsia="Cambria" w:hAnsi="Cambria"/>
          <w:color w:val="171B22"/>
          <w:sz w:val="22"/>
          <w:szCs w:val="22"/>
        </w:rPr>
        <w:t xml:space="preserve">None of that required budget. None of it required headcount. It required deciding which of eleven doors to open — and then making that one safe enough for someone to actually walk through.</w:t>
      </w:r>
    </w:p>
    <w:p>
      <w:pPr>
        <w:pBdr>
          <w:left w:val="single" w:color="1B8F86" w:sz="12" w:space="12"/>
        </w:pBdr>
        <w:spacing w:after="260" w:before="260" w:line="320"/>
        <w:ind w:left="504"/>
      </w:pPr>
      <w:r>
        <w:rPr>
          <w:rFonts w:ascii="Cambria" w:cs="Cambria" w:eastAsia="Cambria" w:hAnsi="Cambria"/>
          <w:i/>
          <w:iCs/>
          <w:color w:val="171B22"/>
          <w:sz w:val="24"/>
          <w:szCs w:val="24"/>
        </w:rPr>
        <w:t xml:space="preserve">The MCP server was the raw material, and it was free. The product was the judgment.</w:t>
      </w:r>
    </w:p>
    <w:p>
      <w:pPr>
        <w:pBdr>
          <w:bottom w:val="single" w:color="D6DCE5" w:sz="4" w:space="1"/>
        </w:pBdr>
        <w:spacing w:after="260" w:before="200"/>
      </w:pPr>
      <w:r>
        <w:t xml:space="preserve"/>
      </w:r>
    </w:p>
    <w:p>
      <w:pPr>
        <w:spacing w:after="120" w:line="300"/>
      </w:pPr>
      <w:r>
        <w:rPr>
          <w:rFonts w:ascii="Cambria" w:cs="Cambria" w:eastAsia="Cambria" w:hAnsi="Cambria"/>
          <w:i/>
          <w:iCs/>
          <w:color w:val="4B5568"/>
          <w:sz w:val="21"/>
          <w:szCs w:val="21"/>
        </w:rPr>
        <w:t xml:space="preserve">The prototype, the workflow and the full write-up are public: </w:t>
      </w:r>
      <w:hyperlink w:history="1" r:id="rId5ymbeocyxvnmwks9go4yu">
        <w:r>
          <w:rPr>
            <w:rFonts w:ascii="Cambria" w:cs="Cambria" w:eastAsia="Cambria" w:hAnsi="Cambria"/>
            <w:b/>
            <w:bCs/>
            <w:i/>
            <w:iCs/>
            <w:color w:val="1B8F86"/>
            <w:sz w:val="21"/>
            <w:szCs w:val="21"/>
          </w:rPr>
          <w:t xml:space="preserve">github.com/mayukhg/qualys-mcp-app</w:t>
        </w:r>
      </w:hyperlink>
    </w:p>
    <w:p>
      <w:pPr>
        <w:spacing w:after="0" w:line="300"/>
      </w:pPr>
      <w:r>
        <w:rPr>
          <w:rFonts w:ascii="Cambria" w:cs="Cambria" w:eastAsia="Cambria" w:hAnsi="Cambria"/>
          <w:i/>
          <w:iCs/>
          <w:color w:val="4B5568"/>
          <w:sz w:val="21"/>
          <w:szCs w:val="21"/>
        </w:rPr>
        <w:t xml:space="preserve">I build product in enterprise cybersecurity — attack path management, exploit validation, and agentic AI. If you are thinking about where MCP fits in a security stack, I would enjoy the argument.</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ymbeocyxvnmwks9go4yu" Type="http://schemas.openxmlformats.org/officeDocument/2006/relationships/hyperlink" Target="https://github.com/mayukhg/qualys-mcp-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2026-07-14T07:21:09.563Z</dcterms:created>
  <dcterms:modified xsi:type="dcterms:W3CDTF">2026-07-14T07:21:09.564Z</dcterms:modified>
</cp:coreProperties>
</file>

<file path=docProps/custom.xml><?xml version="1.0" encoding="utf-8"?>
<Properties xmlns="http://schemas.openxmlformats.org/officeDocument/2006/custom-properties" xmlns:vt="http://schemas.openxmlformats.org/officeDocument/2006/docPropsVTypes"/>
</file>