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3180"/>
        <w:gridCol w:w="619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Paper citation</w:t>
            </w: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Problem/motivation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Classification,application,and design challenges of drones A review</w:t>
            </w: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Hassanalian, Mostafa, and Abdessattar Abdelkefi. "Classifications, applications, and design challenges of drones: A review."</w:t>
            </w:r>
            <w:r>
              <w:rPr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宋体" w:cs="Arial"/>
                <w:i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Progress in Aerospace Sciences</w:t>
            </w:r>
            <w:r>
              <w:rPr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91 (2017): 99-131.</w:t>
            </w: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nowadays, researchers designed and fabricated different types of drones ranging from one to twelve motors.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This paper depicted the classification  and the design challenges of different types UAVs.For rotary UAVs,the most important challenges may be the power.  The current energy can not support it</w:t>
            </w: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 long flight.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A survey of small-scale unmanned aerial vehicles: Recent advances and future development trends</w:t>
            </w: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Cai, Guowei, Jorge Dias, and Lakmal Seneviratne. "A survey of small-scale unmanned aerial vehicles: Recent advances and future development trends."</w:t>
            </w:r>
            <w:r>
              <w:rPr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宋体" w:cs="Arial"/>
                <w:i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Unmanned Systems</w:t>
            </w:r>
            <w:r>
              <w:rPr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2.02 (2014): 175-199.</w:t>
            </w: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Cai presented 132 small-scall models .</w:t>
            </w:r>
            <w:r>
              <w:rPr>
                <w:rFonts w:ascii="宋体" w:hAnsi="宋体" w:eastAsia="宋体" w:cs="宋体"/>
                <w:sz w:val="24"/>
                <w:szCs w:val="24"/>
              </w:rPr>
              <w:t>Among the rotary wing MAVs, the quad-copters and hexa-copters are the best known drones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.The paper gave a common design features for rotorcraft including platform,dynamics and flight control.</w:t>
            </w:r>
            <w:bookmarkEnd w:id="0"/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Structural health monitoring for a wind turbine system: a review of damage detection methods</w:t>
            </w: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Ciang, Chia Chen, Jung-Ryul Lee, and Hyung-Joon Bang. "Structural health monitoring for a wind turbine system: a review of damage detection methods."</w:t>
            </w:r>
            <w:r>
              <w:rPr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宋体" w:cs="Arial"/>
                <w:i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Measurement science and technology</w:t>
            </w:r>
            <w:r>
              <w:rPr>
                <w:rFonts w:hint="default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19.12 (2008): 122001.</w:t>
            </w: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the structural health monitoring (SHM) system is of primary importance because structural damage may induce catastrophic damage to the integrity of the system.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i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i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i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80" w:type="dxa"/>
            <w:noWrap w:val="0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6195" w:type="dxa"/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115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i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A6724"/>
    <w:rsid w:val="634D7B2F"/>
    <w:rsid w:val="786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猎隼</cp:lastModifiedBy>
  <dcterms:modified xsi:type="dcterms:W3CDTF">2021-01-31T03:04:28Z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