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D5B0E" w14:textId="77777777" w:rsidR="00534A5D" w:rsidRDefault="007F1828">
      <w:pPr>
        <w:spacing w:after="0" w:line="259" w:lineRule="auto"/>
        <w:ind w:left="9310" w:right="-451" w:firstLine="0"/>
        <w:jc w:val="left"/>
      </w:pPr>
      <w:r>
        <w:rPr>
          <w:noProof/>
        </w:rPr>
        <w:drawing>
          <wp:inline distT="0" distB="0" distL="0" distR="0" wp14:anchorId="0CBCC1FE" wp14:editId="406AE7CB">
            <wp:extent cx="324485" cy="514350"/>
            <wp:effectExtent l="0" t="0" r="0" b="0"/>
            <wp:docPr id="298" name="Picture 298" descr="Holmes Institute Logo Vertical with Shield - YCH Revised.png"/>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7"/>
                    <a:stretch>
                      <a:fillRect/>
                    </a:stretch>
                  </pic:blipFill>
                  <pic:spPr>
                    <a:xfrm>
                      <a:off x="0" y="0"/>
                      <a:ext cx="324485" cy="514350"/>
                    </a:xfrm>
                    <a:prstGeom prst="rect">
                      <a:avLst/>
                    </a:prstGeom>
                  </pic:spPr>
                </pic:pic>
              </a:graphicData>
            </a:graphic>
          </wp:inline>
        </w:drawing>
      </w:r>
    </w:p>
    <w:p w14:paraId="5B5B078B" w14:textId="77777777" w:rsidR="00534A5D" w:rsidRDefault="007F1828">
      <w:pPr>
        <w:spacing w:after="0" w:line="259" w:lineRule="auto"/>
        <w:ind w:left="0" w:right="0" w:firstLine="0"/>
        <w:jc w:val="left"/>
      </w:pPr>
      <w:r>
        <w:rPr>
          <w:rFonts w:ascii="Calibri" w:eastAsia="Calibri" w:hAnsi="Calibri" w:cs="Calibri"/>
          <w:b/>
          <w:color w:val="C00000"/>
          <w:sz w:val="29"/>
        </w:rPr>
        <w:t xml:space="preserve">Group Assignment  </w:t>
      </w:r>
    </w:p>
    <w:tbl>
      <w:tblPr>
        <w:tblStyle w:val="TableGrid"/>
        <w:tblW w:w="10063" w:type="dxa"/>
        <w:tblInd w:w="9" w:type="dxa"/>
        <w:tblCellMar>
          <w:top w:w="79" w:type="dxa"/>
          <w:left w:w="6" w:type="dxa"/>
          <w:bottom w:w="0" w:type="dxa"/>
          <w:right w:w="92" w:type="dxa"/>
        </w:tblCellMar>
        <w:tblLook w:val="04A0" w:firstRow="1" w:lastRow="0" w:firstColumn="1" w:lastColumn="0" w:noHBand="0" w:noVBand="1"/>
      </w:tblPr>
      <w:tblGrid>
        <w:gridCol w:w="2401"/>
        <w:gridCol w:w="7662"/>
      </w:tblGrid>
      <w:tr w:rsidR="00534A5D" w14:paraId="6227EC6F" w14:textId="77777777">
        <w:trPr>
          <w:trHeight w:val="357"/>
        </w:trPr>
        <w:tc>
          <w:tcPr>
            <w:tcW w:w="2401" w:type="dxa"/>
            <w:tcBorders>
              <w:top w:val="single" w:sz="6" w:space="0" w:color="000000"/>
              <w:left w:val="single" w:sz="6" w:space="0" w:color="000000"/>
              <w:bottom w:val="single" w:sz="6" w:space="0" w:color="000000"/>
              <w:right w:val="nil"/>
            </w:tcBorders>
            <w:shd w:val="clear" w:color="auto" w:fill="D9D9D9"/>
          </w:tcPr>
          <w:p w14:paraId="4E3D4912" w14:textId="77777777" w:rsidR="00534A5D" w:rsidRDefault="007F1828">
            <w:pPr>
              <w:spacing w:after="0" w:line="259" w:lineRule="auto"/>
              <w:ind w:left="0" w:right="0" w:firstLine="0"/>
              <w:jc w:val="left"/>
            </w:pPr>
            <w:r>
              <w:rPr>
                <w:rFonts w:ascii="Calibri" w:eastAsia="Calibri" w:hAnsi="Calibri" w:cs="Calibri"/>
              </w:rPr>
              <w:t xml:space="preserve"> </w:t>
            </w:r>
          </w:p>
        </w:tc>
        <w:tc>
          <w:tcPr>
            <w:tcW w:w="7662" w:type="dxa"/>
            <w:tcBorders>
              <w:top w:val="single" w:sz="6" w:space="0" w:color="000000"/>
              <w:left w:val="nil"/>
              <w:bottom w:val="single" w:sz="6" w:space="0" w:color="000000"/>
              <w:right w:val="single" w:sz="6" w:space="0" w:color="000000"/>
            </w:tcBorders>
            <w:shd w:val="clear" w:color="auto" w:fill="D9D9D9"/>
          </w:tcPr>
          <w:p w14:paraId="20290EC2" w14:textId="77777777" w:rsidR="00534A5D" w:rsidRDefault="007F1828">
            <w:pPr>
              <w:tabs>
                <w:tab w:val="center" w:pos="2626"/>
                <w:tab w:val="center" w:pos="5529"/>
              </w:tabs>
              <w:spacing w:after="0" w:line="259" w:lineRule="auto"/>
              <w:ind w:left="0" w:right="0" w:firstLine="0"/>
              <w:jc w:val="left"/>
            </w:pPr>
            <w:r>
              <w:rPr>
                <w:rFonts w:ascii="Calibri" w:eastAsia="Calibri" w:hAnsi="Calibri" w:cs="Calibri"/>
                <w:sz w:val="22"/>
              </w:rPr>
              <w:tab/>
            </w:r>
            <w:r>
              <w:rPr>
                <w:rFonts w:ascii="Calibri" w:eastAsia="Calibri" w:hAnsi="Calibri" w:cs="Calibri"/>
                <w:b/>
              </w:rPr>
              <w:t xml:space="preserve">Assessment Details and Submission Guidelines  </w:t>
            </w:r>
            <w:r>
              <w:rPr>
                <w:rFonts w:ascii="Calibri" w:eastAsia="Calibri" w:hAnsi="Calibri" w:cs="Calibri"/>
                <w:b/>
              </w:rPr>
              <w:tab/>
              <w:t xml:space="preserve"> </w:t>
            </w:r>
            <w:r>
              <w:rPr>
                <w:rFonts w:ascii="Calibri" w:eastAsia="Calibri" w:hAnsi="Calibri" w:cs="Calibri"/>
              </w:rPr>
              <w:t xml:space="preserve"> </w:t>
            </w:r>
          </w:p>
        </w:tc>
      </w:tr>
      <w:tr w:rsidR="00534A5D" w14:paraId="747C13F9" w14:textId="77777777">
        <w:trPr>
          <w:trHeight w:val="377"/>
        </w:trPr>
        <w:tc>
          <w:tcPr>
            <w:tcW w:w="2401" w:type="dxa"/>
            <w:tcBorders>
              <w:top w:val="single" w:sz="6" w:space="0" w:color="000000"/>
              <w:left w:val="single" w:sz="6" w:space="0" w:color="000000"/>
              <w:bottom w:val="single" w:sz="6" w:space="0" w:color="000000"/>
              <w:right w:val="single" w:sz="6" w:space="0" w:color="000000"/>
            </w:tcBorders>
          </w:tcPr>
          <w:p w14:paraId="30A654DD" w14:textId="77777777" w:rsidR="00534A5D" w:rsidRDefault="007F1828">
            <w:pPr>
              <w:spacing w:after="0" w:line="259" w:lineRule="auto"/>
              <w:ind w:left="75" w:right="0" w:firstLine="0"/>
              <w:jc w:val="left"/>
            </w:pPr>
            <w:r>
              <w:rPr>
                <w:rFonts w:ascii="Calibri" w:eastAsia="Calibri" w:hAnsi="Calibri" w:cs="Calibri"/>
                <w:b/>
              </w:rPr>
              <w:t xml:space="preserve">Trimester </w:t>
            </w:r>
            <w:r>
              <w:rPr>
                <w:rFonts w:ascii="Calibri" w:eastAsia="Calibri" w:hAnsi="Calibri" w:cs="Calibri"/>
              </w:rPr>
              <w:t xml:space="preserve"> </w:t>
            </w:r>
          </w:p>
        </w:tc>
        <w:tc>
          <w:tcPr>
            <w:tcW w:w="7662" w:type="dxa"/>
            <w:tcBorders>
              <w:top w:val="single" w:sz="6" w:space="0" w:color="000000"/>
              <w:left w:val="single" w:sz="6" w:space="0" w:color="000000"/>
              <w:bottom w:val="single" w:sz="6" w:space="0" w:color="000000"/>
              <w:right w:val="single" w:sz="6" w:space="0" w:color="000000"/>
            </w:tcBorders>
          </w:tcPr>
          <w:p w14:paraId="78126365" w14:textId="77777777" w:rsidR="00534A5D" w:rsidRDefault="007F1828">
            <w:pPr>
              <w:spacing w:after="0" w:line="259" w:lineRule="auto"/>
              <w:ind w:left="77" w:right="0" w:firstLine="0"/>
              <w:jc w:val="left"/>
            </w:pPr>
            <w:r>
              <w:rPr>
                <w:rFonts w:ascii="Calibri" w:eastAsia="Calibri" w:hAnsi="Calibri" w:cs="Calibri"/>
              </w:rPr>
              <w:t xml:space="preserve">T1 2026 </w:t>
            </w:r>
          </w:p>
        </w:tc>
      </w:tr>
      <w:tr w:rsidR="00534A5D" w14:paraId="2009C4ED" w14:textId="77777777">
        <w:trPr>
          <w:trHeight w:val="360"/>
        </w:trPr>
        <w:tc>
          <w:tcPr>
            <w:tcW w:w="2401" w:type="dxa"/>
            <w:tcBorders>
              <w:top w:val="single" w:sz="6" w:space="0" w:color="000000"/>
              <w:left w:val="single" w:sz="6" w:space="0" w:color="000000"/>
              <w:bottom w:val="single" w:sz="6" w:space="0" w:color="000000"/>
              <w:right w:val="single" w:sz="6" w:space="0" w:color="000000"/>
            </w:tcBorders>
          </w:tcPr>
          <w:p w14:paraId="57172214" w14:textId="77777777" w:rsidR="00534A5D" w:rsidRDefault="007F1828">
            <w:pPr>
              <w:spacing w:after="0" w:line="259" w:lineRule="auto"/>
              <w:ind w:left="75" w:right="0" w:firstLine="0"/>
              <w:jc w:val="left"/>
            </w:pPr>
            <w:r>
              <w:rPr>
                <w:rFonts w:ascii="Calibri" w:eastAsia="Calibri" w:hAnsi="Calibri" w:cs="Calibri"/>
                <w:b/>
              </w:rPr>
              <w:t xml:space="preserve">Unit Code </w:t>
            </w:r>
            <w:r>
              <w:rPr>
                <w:rFonts w:ascii="Calibri" w:eastAsia="Calibri" w:hAnsi="Calibri" w:cs="Calibri"/>
              </w:rPr>
              <w:t xml:space="preserve"> </w:t>
            </w:r>
          </w:p>
        </w:tc>
        <w:tc>
          <w:tcPr>
            <w:tcW w:w="7662" w:type="dxa"/>
            <w:tcBorders>
              <w:top w:val="single" w:sz="6" w:space="0" w:color="000000"/>
              <w:left w:val="single" w:sz="6" w:space="0" w:color="000000"/>
              <w:bottom w:val="single" w:sz="6" w:space="0" w:color="000000"/>
              <w:right w:val="single" w:sz="6" w:space="0" w:color="000000"/>
            </w:tcBorders>
          </w:tcPr>
          <w:p w14:paraId="2D834563" w14:textId="77777777" w:rsidR="00534A5D" w:rsidRDefault="007F1828">
            <w:pPr>
              <w:spacing w:after="0" w:line="259" w:lineRule="auto"/>
              <w:ind w:left="77" w:right="0" w:firstLine="0"/>
              <w:jc w:val="left"/>
            </w:pPr>
            <w:r>
              <w:rPr>
                <w:rFonts w:ascii="Calibri" w:eastAsia="Calibri" w:hAnsi="Calibri" w:cs="Calibri"/>
              </w:rPr>
              <w:t xml:space="preserve">HB2027 </w:t>
            </w:r>
          </w:p>
        </w:tc>
      </w:tr>
      <w:tr w:rsidR="00534A5D" w14:paraId="5C2E2AC6" w14:textId="77777777">
        <w:trPr>
          <w:trHeight w:val="375"/>
        </w:trPr>
        <w:tc>
          <w:tcPr>
            <w:tcW w:w="2401" w:type="dxa"/>
            <w:tcBorders>
              <w:top w:val="single" w:sz="6" w:space="0" w:color="000000"/>
              <w:left w:val="single" w:sz="6" w:space="0" w:color="000000"/>
              <w:bottom w:val="single" w:sz="6" w:space="0" w:color="000000"/>
              <w:right w:val="single" w:sz="6" w:space="0" w:color="000000"/>
            </w:tcBorders>
          </w:tcPr>
          <w:p w14:paraId="31D48965" w14:textId="77777777" w:rsidR="00534A5D" w:rsidRDefault="007F1828">
            <w:pPr>
              <w:spacing w:after="0" w:line="259" w:lineRule="auto"/>
              <w:ind w:left="75" w:right="0" w:firstLine="0"/>
              <w:jc w:val="left"/>
            </w:pPr>
            <w:r>
              <w:rPr>
                <w:rFonts w:ascii="Calibri" w:eastAsia="Calibri" w:hAnsi="Calibri" w:cs="Calibri"/>
                <w:b/>
              </w:rPr>
              <w:t xml:space="preserve">Unit Title </w:t>
            </w:r>
            <w:r>
              <w:rPr>
                <w:rFonts w:ascii="Calibri" w:eastAsia="Calibri" w:hAnsi="Calibri" w:cs="Calibri"/>
              </w:rPr>
              <w:t xml:space="preserve"> </w:t>
            </w:r>
          </w:p>
        </w:tc>
        <w:tc>
          <w:tcPr>
            <w:tcW w:w="7662" w:type="dxa"/>
            <w:tcBorders>
              <w:top w:val="single" w:sz="6" w:space="0" w:color="000000"/>
              <w:left w:val="single" w:sz="6" w:space="0" w:color="000000"/>
              <w:bottom w:val="single" w:sz="6" w:space="0" w:color="000000"/>
              <w:right w:val="single" w:sz="6" w:space="0" w:color="000000"/>
            </w:tcBorders>
          </w:tcPr>
          <w:p w14:paraId="41A7C49A" w14:textId="77777777" w:rsidR="00534A5D" w:rsidRDefault="007F1828">
            <w:pPr>
              <w:spacing w:after="0" w:line="259" w:lineRule="auto"/>
              <w:ind w:left="77" w:right="0" w:firstLine="0"/>
              <w:jc w:val="left"/>
            </w:pPr>
            <w:r>
              <w:rPr>
                <w:rFonts w:ascii="Calibri" w:eastAsia="Calibri" w:hAnsi="Calibri" w:cs="Calibri"/>
              </w:rPr>
              <w:t xml:space="preserve">Business and Corporations Law for Managers  </w:t>
            </w:r>
          </w:p>
        </w:tc>
      </w:tr>
      <w:tr w:rsidR="00534A5D" w14:paraId="7DE984EE" w14:textId="77777777">
        <w:trPr>
          <w:trHeight w:val="360"/>
        </w:trPr>
        <w:tc>
          <w:tcPr>
            <w:tcW w:w="2401" w:type="dxa"/>
            <w:tcBorders>
              <w:top w:val="single" w:sz="6" w:space="0" w:color="000000"/>
              <w:left w:val="single" w:sz="6" w:space="0" w:color="000000"/>
              <w:bottom w:val="single" w:sz="6" w:space="0" w:color="000000"/>
              <w:right w:val="single" w:sz="6" w:space="0" w:color="000000"/>
            </w:tcBorders>
          </w:tcPr>
          <w:p w14:paraId="722BDE2B" w14:textId="77777777" w:rsidR="00534A5D" w:rsidRDefault="007F1828">
            <w:pPr>
              <w:spacing w:after="0" w:line="259" w:lineRule="auto"/>
              <w:ind w:left="75" w:right="0" w:firstLine="0"/>
              <w:jc w:val="left"/>
            </w:pPr>
            <w:r>
              <w:rPr>
                <w:rFonts w:ascii="Calibri" w:eastAsia="Calibri" w:hAnsi="Calibri" w:cs="Calibri"/>
                <w:b/>
              </w:rPr>
              <w:t xml:space="preserve">Assessment Type </w:t>
            </w:r>
            <w:r>
              <w:rPr>
                <w:rFonts w:ascii="Calibri" w:eastAsia="Calibri" w:hAnsi="Calibri" w:cs="Calibri"/>
              </w:rPr>
              <w:t xml:space="preserve"> </w:t>
            </w:r>
          </w:p>
        </w:tc>
        <w:tc>
          <w:tcPr>
            <w:tcW w:w="7662" w:type="dxa"/>
            <w:tcBorders>
              <w:top w:val="single" w:sz="6" w:space="0" w:color="000000"/>
              <w:left w:val="single" w:sz="6" w:space="0" w:color="000000"/>
              <w:bottom w:val="single" w:sz="6" w:space="0" w:color="000000"/>
              <w:right w:val="single" w:sz="6" w:space="0" w:color="000000"/>
            </w:tcBorders>
          </w:tcPr>
          <w:p w14:paraId="17F71B93" w14:textId="77777777" w:rsidR="00534A5D" w:rsidRDefault="007F1828">
            <w:pPr>
              <w:spacing w:after="0" w:line="259" w:lineRule="auto"/>
              <w:ind w:left="77" w:right="0" w:firstLine="0"/>
              <w:jc w:val="left"/>
            </w:pPr>
            <w:r>
              <w:rPr>
                <w:rFonts w:ascii="Calibri" w:eastAsia="Calibri" w:hAnsi="Calibri" w:cs="Calibri"/>
              </w:rPr>
              <w:t xml:space="preserve">Group Assignment  </w:t>
            </w:r>
          </w:p>
        </w:tc>
      </w:tr>
      <w:tr w:rsidR="00534A5D" w14:paraId="163B079E" w14:textId="77777777">
        <w:trPr>
          <w:trHeight w:val="375"/>
        </w:trPr>
        <w:tc>
          <w:tcPr>
            <w:tcW w:w="2401" w:type="dxa"/>
            <w:tcBorders>
              <w:top w:val="single" w:sz="6" w:space="0" w:color="000000"/>
              <w:left w:val="single" w:sz="6" w:space="0" w:color="000000"/>
              <w:bottom w:val="single" w:sz="6" w:space="0" w:color="000000"/>
              <w:right w:val="single" w:sz="6" w:space="0" w:color="000000"/>
            </w:tcBorders>
          </w:tcPr>
          <w:p w14:paraId="029D96F3" w14:textId="77777777" w:rsidR="00534A5D" w:rsidRDefault="007F1828">
            <w:pPr>
              <w:spacing w:after="0" w:line="259" w:lineRule="auto"/>
              <w:ind w:left="75" w:right="0" w:firstLine="0"/>
              <w:jc w:val="left"/>
            </w:pPr>
            <w:r>
              <w:rPr>
                <w:rFonts w:ascii="Calibri" w:eastAsia="Calibri" w:hAnsi="Calibri" w:cs="Calibri"/>
                <w:b/>
              </w:rPr>
              <w:t xml:space="preserve">Weight </w:t>
            </w:r>
            <w:r>
              <w:rPr>
                <w:rFonts w:ascii="Calibri" w:eastAsia="Calibri" w:hAnsi="Calibri" w:cs="Calibri"/>
              </w:rPr>
              <w:t xml:space="preserve"> </w:t>
            </w:r>
          </w:p>
        </w:tc>
        <w:tc>
          <w:tcPr>
            <w:tcW w:w="7662" w:type="dxa"/>
            <w:tcBorders>
              <w:top w:val="single" w:sz="6" w:space="0" w:color="000000"/>
              <w:left w:val="single" w:sz="6" w:space="0" w:color="000000"/>
              <w:bottom w:val="single" w:sz="6" w:space="0" w:color="000000"/>
              <w:right w:val="single" w:sz="6" w:space="0" w:color="000000"/>
            </w:tcBorders>
          </w:tcPr>
          <w:p w14:paraId="72B49EBF" w14:textId="77777777" w:rsidR="00534A5D" w:rsidRDefault="007F1828">
            <w:pPr>
              <w:spacing w:after="0" w:line="259" w:lineRule="auto"/>
              <w:ind w:left="77" w:right="0" w:firstLine="0"/>
              <w:jc w:val="left"/>
            </w:pPr>
            <w:r>
              <w:rPr>
                <w:rFonts w:ascii="Calibri" w:eastAsia="Calibri" w:hAnsi="Calibri" w:cs="Calibri"/>
              </w:rPr>
              <w:t xml:space="preserve"> 40 %  </w:t>
            </w:r>
          </w:p>
        </w:tc>
      </w:tr>
      <w:tr w:rsidR="00534A5D" w14:paraId="505234FC" w14:textId="77777777">
        <w:trPr>
          <w:trHeight w:val="1081"/>
        </w:trPr>
        <w:tc>
          <w:tcPr>
            <w:tcW w:w="2401" w:type="dxa"/>
            <w:tcBorders>
              <w:top w:val="single" w:sz="6" w:space="0" w:color="000000"/>
              <w:left w:val="single" w:sz="6" w:space="0" w:color="000000"/>
              <w:bottom w:val="single" w:sz="6" w:space="0" w:color="000000"/>
              <w:right w:val="single" w:sz="6" w:space="0" w:color="000000"/>
            </w:tcBorders>
          </w:tcPr>
          <w:p w14:paraId="719FF6F6" w14:textId="77777777" w:rsidR="00534A5D" w:rsidRDefault="007F1828">
            <w:pPr>
              <w:spacing w:after="0" w:line="259" w:lineRule="auto"/>
              <w:ind w:left="75" w:right="0" w:firstLine="0"/>
            </w:pPr>
            <w:r>
              <w:rPr>
                <w:rFonts w:ascii="Calibri" w:eastAsia="Calibri" w:hAnsi="Calibri" w:cs="Calibri"/>
                <w:b/>
              </w:rPr>
              <w:t xml:space="preserve">Submission Guidelines </w:t>
            </w:r>
            <w:r>
              <w:rPr>
                <w:rFonts w:ascii="Calibri" w:eastAsia="Calibri" w:hAnsi="Calibri" w:cs="Calibri"/>
              </w:rPr>
              <w:t xml:space="preserve"> </w:t>
            </w:r>
          </w:p>
        </w:tc>
        <w:tc>
          <w:tcPr>
            <w:tcW w:w="7662" w:type="dxa"/>
            <w:tcBorders>
              <w:top w:val="single" w:sz="6" w:space="0" w:color="000000"/>
              <w:left w:val="single" w:sz="6" w:space="0" w:color="000000"/>
              <w:bottom w:val="single" w:sz="6" w:space="0" w:color="000000"/>
              <w:right w:val="single" w:sz="6" w:space="0" w:color="000000"/>
            </w:tcBorders>
          </w:tcPr>
          <w:p w14:paraId="20D22EE9" w14:textId="77777777" w:rsidR="00534A5D" w:rsidRDefault="007F1828">
            <w:pPr>
              <w:numPr>
                <w:ilvl w:val="0"/>
                <w:numId w:val="3"/>
              </w:numPr>
              <w:spacing w:after="45" w:line="236" w:lineRule="auto"/>
              <w:ind w:right="0" w:hanging="285"/>
              <w:jc w:val="left"/>
            </w:pPr>
            <w:r>
              <w:rPr>
                <w:rFonts w:ascii="Calibri" w:eastAsia="Calibri" w:hAnsi="Calibri" w:cs="Calibri"/>
              </w:rPr>
              <w:t xml:space="preserve">All work must be submitted on Blackboard by the due date along with a completed Assignment Cover Page.   </w:t>
            </w:r>
          </w:p>
          <w:p w14:paraId="3A5E5791" w14:textId="77777777" w:rsidR="00534A5D" w:rsidRDefault="007F1828">
            <w:pPr>
              <w:numPr>
                <w:ilvl w:val="0"/>
                <w:numId w:val="3"/>
              </w:numPr>
              <w:spacing w:after="0" w:line="259" w:lineRule="auto"/>
              <w:ind w:right="0" w:hanging="285"/>
              <w:jc w:val="left"/>
            </w:pPr>
            <w:r>
              <w:rPr>
                <w:rFonts w:ascii="Calibri" w:eastAsia="Calibri" w:hAnsi="Calibri" w:cs="Calibri"/>
              </w:rPr>
              <w:t xml:space="preserve">The assignment must be in MS Word format unless otherwise specified.    </w:t>
            </w:r>
          </w:p>
        </w:tc>
      </w:tr>
      <w:tr w:rsidR="00534A5D" w14:paraId="677627FA" w14:textId="77777777">
        <w:trPr>
          <w:trHeight w:val="1712"/>
        </w:trPr>
        <w:tc>
          <w:tcPr>
            <w:tcW w:w="2401" w:type="dxa"/>
            <w:tcBorders>
              <w:top w:val="single" w:sz="6" w:space="0" w:color="000000"/>
              <w:left w:val="single" w:sz="6" w:space="0" w:color="000000"/>
              <w:bottom w:val="single" w:sz="6" w:space="0" w:color="000000"/>
              <w:right w:val="single" w:sz="6" w:space="0" w:color="000000"/>
            </w:tcBorders>
          </w:tcPr>
          <w:p w14:paraId="7CC7832E" w14:textId="77777777" w:rsidR="00534A5D" w:rsidRDefault="007F1828">
            <w:pPr>
              <w:spacing w:after="0" w:line="259" w:lineRule="auto"/>
              <w:ind w:left="75" w:right="0" w:hanging="75"/>
              <w:jc w:val="left"/>
            </w:pPr>
            <w:r>
              <w:rPr>
                <w:rFonts w:ascii="Calibri" w:eastAsia="Calibri" w:hAnsi="Calibri" w:cs="Calibri"/>
                <w:b/>
              </w:rPr>
              <w:t xml:space="preserve">  Academic Integrity Information </w:t>
            </w:r>
          </w:p>
        </w:tc>
        <w:tc>
          <w:tcPr>
            <w:tcW w:w="7662" w:type="dxa"/>
            <w:tcBorders>
              <w:top w:val="single" w:sz="6" w:space="0" w:color="000000"/>
              <w:left w:val="single" w:sz="6" w:space="0" w:color="000000"/>
              <w:bottom w:val="single" w:sz="6" w:space="0" w:color="000000"/>
              <w:right w:val="single" w:sz="6" w:space="0" w:color="000000"/>
            </w:tcBorders>
          </w:tcPr>
          <w:p w14:paraId="0D008189" w14:textId="77777777" w:rsidR="00534A5D" w:rsidRDefault="007F1828">
            <w:pPr>
              <w:spacing w:after="0" w:line="259" w:lineRule="auto"/>
              <w:ind w:left="92" w:right="49" w:firstLine="0"/>
            </w:pPr>
            <w:r>
              <w:rPr>
                <w:rFonts w:ascii="Calibri" w:eastAsia="Calibri" w:hAnsi="Calibri" w:cs="Calibri"/>
              </w:rPr>
              <w:t xml:space="preserve">Holmes Institute is committed to ensuring and upholding academic integrity. All assessments must comply with academic integrity guidelines. Please learn about academic integrity and consult your teachers with any questions. Violating academic integrity is serious and punishable by penalties that range from deduction of marks, failure of the assessment task or unit involved, suspension of course enrolment, or cancellation of course enrolment. </w:t>
            </w:r>
          </w:p>
        </w:tc>
      </w:tr>
      <w:tr w:rsidR="00534A5D" w14:paraId="7B9E0CF6" w14:textId="77777777">
        <w:trPr>
          <w:trHeight w:val="6591"/>
        </w:trPr>
        <w:tc>
          <w:tcPr>
            <w:tcW w:w="2401" w:type="dxa"/>
            <w:tcBorders>
              <w:top w:val="single" w:sz="6" w:space="0" w:color="000000"/>
              <w:left w:val="single" w:sz="6" w:space="0" w:color="000000"/>
              <w:bottom w:val="single" w:sz="6" w:space="0" w:color="000000"/>
              <w:right w:val="single" w:sz="6" w:space="0" w:color="000000"/>
            </w:tcBorders>
          </w:tcPr>
          <w:p w14:paraId="3AE89F67" w14:textId="77777777" w:rsidR="00534A5D" w:rsidRDefault="007F1828">
            <w:pPr>
              <w:spacing w:after="0" w:line="259" w:lineRule="auto"/>
              <w:ind w:left="0" w:right="0" w:firstLine="0"/>
              <w:jc w:val="left"/>
            </w:pPr>
            <w:r>
              <w:rPr>
                <w:rFonts w:ascii="Calibri" w:eastAsia="Calibri" w:hAnsi="Calibri" w:cs="Calibri"/>
                <w:b/>
              </w:rPr>
              <w:t xml:space="preserve">  Penalties </w:t>
            </w:r>
          </w:p>
        </w:tc>
        <w:tc>
          <w:tcPr>
            <w:tcW w:w="7662" w:type="dxa"/>
            <w:tcBorders>
              <w:top w:val="single" w:sz="6" w:space="0" w:color="000000"/>
              <w:left w:val="single" w:sz="6" w:space="0" w:color="000000"/>
              <w:bottom w:val="single" w:sz="6" w:space="0" w:color="000000"/>
              <w:right w:val="single" w:sz="6" w:space="0" w:color="000000"/>
            </w:tcBorders>
          </w:tcPr>
          <w:p w14:paraId="0937F662" w14:textId="77777777" w:rsidR="00534A5D" w:rsidRDefault="007F1828">
            <w:pPr>
              <w:numPr>
                <w:ilvl w:val="0"/>
                <w:numId w:val="4"/>
              </w:numPr>
              <w:spacing w:after="15" w:line="249" w:lineRule="auto"/>
              <w:ind w:left="572" w:right="0" w:hanging="360"/>
            </w:pPr>
            <w:r>
              <w:rPr>
                <w:rFonts w:ascii="Calibri" w:eastAsia="Calibri" w:hAnsi="Calibri" w:cs="Calibri"/>
              </w:rPr>
              <w:t xml:space="preserve">This assessment must be submitted on Blackboard by the due date and time, as late penalties apply (refer Student Handbook). </w:t>
            </w:r>
          </w:p>
          <w:p w14:paraId="42F3B769" w14:textId="77777777" w:rsidR="00534A5D" w:rsidRDefault="007F1828">
            <w:pPr>
              <w:numPr>
                <w:ilvl w:val="0"/>
                <w:numId w:val="4"/>
              </w:numPr>
              <w:spacing w:after="1" w:line="275" w:lineRule="auto"/>
              <w:ind w:left="572" w:right="0" w:hanging="360"/>
            </w:pPr>
            <w:r>
              <w:rPr>
                <w:rFonts w:ascii="Calibri" w:eastAsia="Calibri" w:hAnsi="Calibri" w:cs="Calibri"/>
              </w:rPr>
              <w:t>Assessment submitted without a completed Assessment Cover Page will receive a twenty percent (</w:t>
            </w:r>
            <w:r>
              <w:rPr>
                <w:rFonts w:ascii="Calibri" w:eastAsia="Calibri" w:hAnsi="Calibri" w:cs="Calibri"/>
                <w:b/>
              </w:rPr>
              <w:t>20%</w:t>
            </w:r>
            <w:r>
              <w:rPr>
                <w:rFonts w:ascii="Calibri" w:eastAsia="Calibri" w:hAnsi="Calibri" w:cs="Calibri"/>
              </w:rPr>
              <w:t xml:space="preserve">) penalty. </w:t>
            </w:r>
          </w:p>
          <w:p w14:paraId="1AD01EA0" w14:textId="77777777" w:rsidR="00534A5D" w:rsidRDefault="007F1828">
            <w:pPr>
              <w:numPr>
                <w:ilvl w:val="0"/>
                <w:numId w:val="4"/>
              </w:numPr>
              <w:spacing w:after="23" w:line="269" w:lineRule="auto"/>
              <w:ind w:left="572" w:right="0" w:hanging="360"/>
            </w:pPr>
            <w:r>
              <w:rPr>
                <w:rFonts w:ascii="Calibri" w:eastAsia="Calibri" w:hAnsi="Calibri" w:cs="Calibri"/>
              </w:rPr>
              <w:t xml:space="preserve">This assessment must be submitted in </w:t>
            </w:r>
            <w:r>
              <w:rPr>
                <w:rFonts w:ascii="Calibri" w:eastAsia="Calibri" w:hAnsi="Calibri" w:cs="Calibri"/>
                <w:b/>
              </w:rPr>
              <w:t>Microsoft Word</w:t>
            </w:r>
            <w:r>
              <w:rPr>
                <w:rFonts w:ascii="Calibri" w:eastAsia="Calibri" w:hAnsi="Calibri" w:cs="Calibri"/>
              </w:rPr>
              <w:t xml:space="preserve"> format (unless otherwise explicitly specified in the assessment instructions). Submissions which breach this requirement will receive a twenty percent (</w:t>
            </w:r>
            <w:r>
              <w:rPr>
                <w:rFonts w:ascii="Calibri" w:eastAsia="Calibri" w:hAnsi="Calibri" w:cs="Calibri"/>
                <w:b/>
              </w:rPr>
              <w:t>20%</w:t>
            </w:r>
            <w:r>
              <w:rPr>
                <w:rFonts w:ascii="Calibri" w:eastAsia="Calibri" w:hAnsi="Calibri" w:cs="Calibri"/>
              </w:rPr>
              <w:t xml:space="preserve">) penalty. </w:t>
            </w:r>
          </w:p>
          <w:p w14:paraId="3D338DAF" w14:textId="77777777" w:rsidR="00534A5D" w:rsidRDefault="007F1828">
            <w:pPr>
              <w:numPr>
                <w:ilvl w:val="0"/>
                <w:numId w:val="4"/>
              </w:numPr>
              <w:spacing w:after="30" w:line="262" w:lineRule="auto"/>
              <w:ind w:left="572" w:right="0" w:hanging="360"/>
            </w:pPr>
            <w:r>
              <w:rPr>
                <w:rFonts w:ascii="Calibri" w:eastAsia="Calibri" w:hAnsi="Calibri" w:cs="Calibri"/>
              </w:rPr>
              <w:t xml:space="preserve">A twenty percent (20%) penalty will be imposed for all single student (solo) group assessment submissions. </w:t>
            </w:r>
          </w:p>
          <w:p w14:paraId="7DCF36D5" w14:textId="77777777" w:rsidR="00534A5D" w:rsidRDefault="007F1828">
            <w:pPr>
              <w:numPr>
                <w:ilvl w:val="0"/>
                <w:numId w:val="4"/>
              </w:numPr>
              <w:spacing w:after="31" w:line="262" w:lineRule="auto"/>
              <w:ind w:left="572" w:right="0" w:hanging="360"/>
            </w:pPr>
            <w:r>
              <w:rPr>
                <w:rFonts w:ascii="Calibri" w:eastAsia="Calibri" w:hAnsi="Calibri" w:cs="Calibri"/>
              </w:rPr>
              <w:t>Assessments submitted to Blackboard via a Virtual Private Network will receive a fifty percent (</w:t>
            </w:r>
            <w:r>
              <w:rPr>
                <w:rFonts w:ascii="Calibri" w:eastAsia="Calibri" w:hAnsi="Calibri" w:cs="Calibri"/>
                <w:b/>
              </w:rPr>
              <w:t>50%</w:t>
            </w:r>
            <w:r>
              <w:rPr>
                <w:rFonts w:ascii="Calibri" w:eastAsia="Calibri" w:hAnsi="Calibri" w:cs="Calibri"/>
              </w:rPr>
              <w:t xml:space="preserve">) penalty. </w:t>
            </w:r>
          </w:p>
          <w:p w14:paraId="1177756E" w14:textId="77777777" w:rsidR="00534A5D" w:rsidRDefault="007F1828">
            <w:pPr>
              <w:numPr>
                <w:ilvl w:val="0"/>
                <w:numId w:val="4"/>
              </w:numPr>
              <w:spacing w:after="8" w:line="269" w:lineRule="auto"/>
              <w:ind w:left="572" w:right="0" w:hanging="360"/>
            </w:pPr>
            <w:r>
              <w:rPr>
                <w:rFonts w:ascii="Calibri" w:eastAsia="Calibri" w:hAnsi="Calibri" w:cs="Calibri"/>
              </w:rPr>
              <w:t xml:space="preserve">Assessment submitted to Blackboard via an overseas IP address is a direct breach of the Holmes’ Student Academic Conduct and Integrity Policy and will be reported for academic misconduct with associated penalties imposed. </w:t>
            </w:r>
          </w:p>
          <w:p w14:paraId="2EE0AD97" w14:textId="77777777" w:rsidR="00534A5D" w:rsidRDefault="007F1828">
            <w:pPr>
              <w:numPr>
                <w:ilvl w:val="0"/>
                <w:numId w:val="4"/>
              </w:numPr>
              <w:spacing w:after="22" w:line="269" w:lineRule="auto"/>
              <w:ind w:left="572" w:right="0" w:hanging="360"/>
            </w:pPr>
            <w:r>
              <w:rPr>
                <w:rFonts w:ascii="Calibri" w:eastAsia="Calibri" w:hAnsi="Calibri" w:cs="Calibri"/>
              </w:rPr>
              <w:t xml:space="preserve">Reference sources must be cited in the text of the report and listed appropriately at the end in a reference list using </w:t>
            </w:r>
            <w:r>
              <w:rPr>
                <w:rFonts w:ascii="Calibri" w:eastAsia="Calibri" w:hAnsi="Calibri" w:cs="Calibri"/>
                <w:b/>
              </w:rPr>
              <w:t>Holmes Institute Adapted Harvard Referencing method</w:t>
            </w:r>
            <w:r>
              <w:rPr>
                <w:rFonts w:ascii="Calibri" w:eastAsia="Calibri" w:hAnsi="Calibri" w:cs="Calibri"/>
              </w:rPr>
              <w:t>. The use of an incorrect reference method, and/or missing/incorrect citations will receive a twenty percent (</w:t>
            </w:r>
            <w:r>
              <w:rPr>
                <w:rFonts w:ascii="Calibri" w:eastAsia="Calibri" w:hAnsi="Calibri" w:cs="Calibri"/>
                <w:b/>
              </w:rPr>
              <w:t>20%</w:t>
            </w:r>
            <w:r>
              <w:rPr>
                <w:rFonts w:ascii="Calibri" w:eastAsia="Calibri" w:hAnsi="Calibri" w:cs="Calibri"/>
              </w:rPr>
              <w:t xml:space="preserve">) penalty.  </w:t>
            </w:r>
          </w:p>
          <w:p w14:paraId="7C704F45" w14:textId="77777777" w:rsidR="00534A5D" w:rsidRDefault="007F1828">
            <w:pPr>
              <w:numPr>
                <w:ilvl w:val="0"/>
                <w:numId w:val="4"/>
              </w:numPr>
              <w:spacing w:after="0" w:line="259" w:lineRule="auto"/>
              <w:ind w:left="572" w:right="0" w:hanging="360"/>
            </w:pPr>
            <w:r>
              <w:rPr>
                <w:rFonts w:ascii="Calibri" w:eastAsia="Calibri" w:hAnsi="Calibri" w:cs="Calibri"/>
              </w:rPr>
              <w:t xml:space="preserve">For all other penalties, please refer to the Group Assessment Instructions listed on Blackboard. </w:t>
            </w:r>
          </w:p>
        </w:tc>
      </w:tr>
    </w:tbl>
    <w:p w14:paraId="79644627" w14:textId="77777777" w:rsidR="00534A5D" w:rsidRDefault="007F1828">
      <w:pPr>
        <w:spacing w:after="32" w:line="259" w:lineRule="auto"/>
        <w:ind w:left="0" w:right="4244" w:firstLine="0"/>
        <w:jc w:val="right"/>
      </w:pPr>
      <w:r>
        <w:rPr>
          <w:rFonts w:ascii="Calibri" w:eastAsia="Calibri" w:hAnsi="Calibri" w:cs="Calibri"/>
          <w:b/>
          <w:sz w:val="29"/>
        </w:rPr>
        <w:lastRenderedPageBreak/>
        <w:t xml:space="preserve"> </w:t>
      </w:r>
    </w:p>
    <w:p w14:paraId="16E45210" w14:textId="77777777" w:rsidR="00534A5D" w:rsidRDefault="007F1828">
      <w:pPr>
        <w:spacing w:after="0" w:line="259" w:lineRule="auto"/>
        <w:ind w:left="285" w:right="0" w:firstLine="0"/>
        <w:jc w:val="left"/>
      </w:pPr>
      <w:r>
        <w:rPr>
          <w:rFonts w:ascii="Calibri" w:eastAsia="Calibri" w:hAnsi="Calibri" w:cs="Calibri"/>
          <w:b/>
          <w:sz w:val="29"/>
        </w:rPr>
        <w:t xml:space="preserve"> </w:t>
      </w:r>
      <w:r>
        <w:rPr>
          <w:rFonts w:ascii="Calibri" w:eastAsia="Calibri" w:hAnsi="Calibri" w:cs="Calibri"/>
          <w:b/>
          <w:sz w:val="29"/>
        </w:rPr>
        <w:tab/>
        <w:t xml:space="preserve"> </w:t>
      </w:r>
    </w:p>
    <w:p w14:paraId="502CE815" w14:textId="77777777" w:rsidR="00534A5D" w:rsidRDefault="007F1828">
      <w:pPr>
        <w:spacing w:after="14" w:line="259" w:lineRule="auto"/>
        <w:ind w:left="818" w:right="0" w:firstLine="0"/>
        <w:jc w:val="center"/>
      </w:pPr>
      <w:r>
        <w:rPr>
          <w:rFonts w:ascii="Calibri" w:eastAsia="Calibri" w:hAnsi="Calibri" w:cs="Calibri"/>
          <w:b/>
          <w:sz w:val="29"/>
        </w:rPr>
        <w:t xml:space="preserve"> </w:t>
      </w:r>
    </w:p>
    <w:p w14:paraId="65D05747" w14:textId="77777777" w:rsidR="00534A5D" w:rsidRDefault="007F1828">
      <w:pPr>
        <w:spacing w:after="29" w:line="259" w:lineRule="auto"/>
        <w:ind w:left="2193" w:right="0" w:firstLine="0"/>
        <w:jc w:val="left"/>
      </w:pPr>
      <w:r>
        <w:rPr>
          <w:rFonts w:ascii="Calibri" w:eastAsia="Calibri" w:hAnsi="Calibri" w:cs="Calibri"/>
          <w:b/>
          <w:sz w:val="29"/>
        </w:rPr>
        <w:t xml:space="preserve">Group Assignment Guidelines and Specifications </w:t>
      </w:r>
    </w:p>
    <w:p w14:paraId="04B11CFB" w14:textId="77777777" w:rsidR="00534A5D" w:rsidRDefault="007F1828">
      <w:pPr>
        <w:spacing w:after="0" w:line="259" w:lineRule="auto"/>
        <w:ind w:left="818" w:right="0" w:firstLine="0"/>
        <w:jc w:val="center"/>
      </w:pPr>
      <w:r>
        <w:rPr>
          <w:rFonts w:ascii="Calibri" w:eastAsia="Calibri" w:hAnsi="Calibri" w:cs="Calibri"/>
          <w:b/>
          <w:sz w:val="29"/>
        </w:rPr>
        <w:t xml:space="preserve"> </w:t>
      </w:r>
    </w:p>
    <w:p w14:paraId="19B18906" w14:textId="77777777" w:rsidR="00534A5D" w:rsidRDefault="007F1828">
      <w:pPr>
        <w:spacing w:after="79" w:line="259" w:lineRule="auto"/>
        <w:ind w:left="265" w:right="0"/>
        <w:jc w:val="left"/>
      </w:pPr>
      <w:r>
        <w:rPr>
          <w:b/>
        </w:rPr>
        <w:t xml:space="preserve">Purpose: </w:t>
      </w:r>
      <w:r>
        <w:t xml:space="preserve"> </w:t>
      </w:r>
    </w:p>
    <w:p w14:paraId="4AE27BBA" w14:textId="77777777" w:rsidR="00534A5D" w:rsidRDefault="007F1828">
      <w:pPr>
        <w:ind w:left="295" w:right="0"/>
      </w:pPr>
      <w:r>
        <w:t xml:space="preserve">The Group Assignment aims to provide students with an opportunity to work in a collaborative environment in solving two case problems by citing the relevant legal rules and cases and applying these to the facts of the case. </w:t>
      </w:r>
      <w:r>
        <w:t xml:space="preserve"> </w:t>
      </w:r>
    </w:p>
    <w:p w14:paraId="6DB17286" w14:textId="77777777" w:rsidR="00534A5D" w:rsidRDefault="007F1828">
      <w:pPr>
        <w:spacing w:after="79" w:line="259" w:lineRule="auto"/>
        <w:ind w:left="285" w:right="0" w:firstLine="0"/>
        <w:jc w:val="left"/>
      </w:pPr>
      <w:r>
        <w:t xml:space="preserve"> </w:t>
      </w:r>
      <w:r>
        <w:t xml:space="preserve"> </w:t>
      </w:r>
    </w:p>
    <w:p w14:paraId="4B83645B" w14:textId="77777777" w:rsidR="00534A5D" w:rsidRDefault="007F1828">
      <w:pPr>
        <w:ind w:left="295" w:right="0"/>
      </w:pPr>
      <w:r>
        <w:t xml:space="preserve">Students are to form groups, with a minimum of 2 and a maximum of 4 students per group. The assignment consists of a 2,000-word written report. </w:t>
      </w:r>
      <w:r>
        <w:t xml:space="preserve"> </w:t>
      </w:r>
    </w:p>
    <w:p w14:paraId="0AADE3A2" w14:textId="77777777" w:rsidR="00534A5D" w:rsidRDefault="007F1828">
      <w:pPr>
        <w:spacing w:after="82" w:line="259" w:lineRule="auto"/>
        <w:ind w:left="285" w:right="0" w:firstLine="0"/>
        <w:jc w:val="left"/>
      </w:pPr>
      <w:r>
        <w:t xml:space="preserve"> </w:t>
      </w:r>
      <w:r>
        <w:t xml:space="preserve"> </w:t>
      </w:r>
    </w:p>
    <w:p w14:paraId="4C0278E5" w14:textId="77777777" w:rsidR="00534A5D" w:rsidRDefault="007F1828">
      <w:pPr>
        <w:spacing w:after="79" w:line="259" w:lineRule="auto"/>
        <w:ind w:left="265" w:right="0"/>
        <w:jc w:val="left"/>
      </w:pPr>
      <w:r>
        <w:rPr>
          <w:b/>
        </w:rPr>
        <w:t xml:space="preserve">Instructions: Please </w:t>
      </w:r>
      <w:r>
        <w:rPr>
          <w:b/>
          <w:u w:val="single" w:color="000000"/>
        </w:rPr>
        <w:t>read and re-read carefully</w:t>
      </w:r>
      <w:r>
        <w:rPr>
          <w:b/>
        </w:rPr>
        <w:t xml:space="preserve"> to avoid mistakes. </w:t>
      </w:r>
      <w:r>
        <w:t xml:space="preserve"> </w:t>
      </w:r>
    </w:p>
    <w:p w14:paraId="15E4C821" w14:textId="77777777" w:rsidR="00534A5D" w:rsidRDefault="007F1828">
      <w:pPr>
        <w:spacing w:after="82" w:line="259" w:lineRule="auto"/>
        <w:ind w:left="285" w:right="0" w:firstLine="0"/>
        <w:jc w:val="left"/>
      </w:pPr>
      <w:r>
        <w:t xml:space="preserve"> </w:t>
      </w:r>
      <w:r>
        <w:t xml:space="preserve"> </w:t>
      </w:r>
    </w:p>
    <w:p w14:paraId="04DE52CA" w14:textId="77777777" w:rsidR="00534A5D" w:rsidRDefault="007F1828">
      <w:pPr>
        <w:pStyle w:val="Heading1"/>
      </w:pPr>
      <w:r>
        <w:t xml:space="preserve">Group Report </w:t>
      </w:r>
      <w:r>
        <w:rPr>
          <w:b w:val="0"/>
          <w:i w:val="0"/>
        </w:rPr>
        <w:t xml:space="preserve"> </w:t>
      </w:r>
    </w:p>
    <w:p w14:paraId="601AB6B8" w14:textId="77777777" w:rsidR="00534A5D" w:rsidRDefault="007F1828">
      <w:pPr>
        <w:numPr>
          <w:ilvl w:val="0"/>
          <w:numId w:val="1"/>
        </w:numPr>
        <w:ind w:right="0" w:hanging="361"/>
      </w:pPr>
      <w:r>
        <w:t xml:space="preserve">This group assignment consists of 3 parts. Part A is a question on Contract Law, Part B is a question on Tort and Negligence Law and Part C is a question involving Corporations Law. All questions must be answered.  </w:t>
      </w:r>
      <w:r>
        <w:t xml:space="preserve"> </w:t>
      </w:r>
    </w:p>
    <w:p w14:paraId="7BE0988B" w14:textId="77777777" w:rsidR="00534A5D" w:rsidRDefault="007F1828">
      <w:pPr>
        <w:spacing w:after="86" w:line="259" w:lineRule="auto"/>
        <w:ind w:left="646" w:right="0" w:firstLine="0"/>
        <w:jc w:val="left"/>
      </w:pPr>
      <w:r>
        <w:t xml:space="preserve"> </w:t>
      </w:r>
      <w:r>
        <w:t xml:space="preserve"> </w:t>
      </w:r>
    </w:p>
    <w:p w14:paraId="7248F551" w14:textId="77777777" w:rsidR="00534A5D" w:rsidRDefault="007F1828">
      <w:pPr>
        <w:numPr>
          <w:ilvl w:val="0"/>
          <w:numId w:val="1"/>
        </w:numPr>
        <w:spacing w:after="109" w:line="259" w:lineRule="auto"/>
        <w:ind w:right="0" w:hanging="361"/>
      </w:pPr>
      <w:r>
        <w:t xml:space="preserve">Question A is worth 20 marks, while Question B and Question C are worth 10 marks each. </w:t>
      </w:r>
      <w:r>
        <w:t xml:space="preserve"> </w:t>
      </w:r>
    </w:p>
    <w:p w14:paraId="73F8291F" w14:textId="77777777" w:rsidR="00534A5D" w:rsidRDefault="007F1828">
      <w:pPr>
        <w:spacing w:after="86" w:line="259" w:lineRule="auto"/>
        <w:ind w:left="646" w:right="0" w:firstLine="0"/>
        <w:jc w:val="left"/>
      </w:pPr>
      <w:r>
        <w:t xml:space="preserve"> </w:t>
      </w:r>
      <w:r>
        <w:t xml:space="preserve"> </w:t>
      </w:r>
    </w:p>
    <w:p w14:paraId="124E7E7B" w14:textId="77777777" w:rsidR="00534A5D" w:rsidRDefault="007F1828">
      <w:pPr>
        <w:numPr>
          <w:ilvl w:val="0"/>
          <w:numId w:val="1"/>
        </w:numPr>
        <w:spacing w:after="108" w:line="259" w:lineRule="auto"/>
        <w:ind w:right="0" w:hanging="361"/>
      </w:pPr>
      <w:r>
        <w:t xml:space="preserve">The total word limit for the group report is 2,000 words (+/- 10% allowed)  </w:t>
      </w:r>
      <w:r>
        <w:t xml:space="preserve"> </w:t>
      </w:r>
    </w:p>
    <w:p w14:paraId="6856DDAB" w14:textId="77777777" w:rsidR="00534A5D" w:rsidRDefault="007F1828">
      <w:pPr>
        <w:spacing w:after="91" w:line="259" w:lineRule="auto"/>
        <w:ind w:left="1007" w:right="0" w:firstLine="0"/>
        <w:jc w:val="left"/>
      </w:pPr>
      <w:r>
        <w:t xml:space="preserve"> </w:t>
      </w:r>
      <w:r>
        <w:t xml:space="preserve"> </w:t>
      </w:r>
    </w:p>
    <w:p w14:paraId="6782D0AB" w14:textId="77777777" w:rsidR="00534A5D" w:rsidRDefault="007F1828">
      <w:pPr>
        <w:numPr>
          <w:ilvl w:val="1"/>
          <w:numId w:val="1"/>
        </w:numPr>
        <w:spacing w:after="117" w:line="259" w:lineRule="auto"/>
        <w:ind w:right="0" w:hanging="360"/>
      </w:pPr>
      <w:r>
        <w:t xml:space="preserve">Word limit for Question A – 800 words </w:t>
      </w:r>
      <w:r>
        <w:t xml:space="preserve"> </w:t>
      </w:r>
    </w:p>
    <w:p w14:paraId="208C3160" w14:textId="77777777" w:rsidR="00534A5D" w:rsidRDefault="007F1828">
      <w:pPr>
        <w:numPr>
          <w:ilvl w:val="1"/>
          <w:numId w:val="1"/>
        </w:numPr>
        <w:spacing w:after="117" w:line="259" w:lineRule="auto"/>
        <w:ind w:right="0" w:hanging="360"/>
      </w:pPr>
      <w:r>
        <w:t xml:space="preserve">Word limit for Question B – 600 words </w:t>
      </w:r>
      <w:r>
        <w:t xml:space="preserve"> </w:t>
      </w:r>
    </w:p>
    <w:p w14:paraId="3D4EF004" w14:textId="77777777" w:rsidR="00534A5D" w:rsidRDefault="007F1828">
      <w:pPr>
        <w:numPr>
          <w:ilvl w:val="1"/>
          <w:numId w:val="1"/>
        </w:numPr>
        <w:spacing w:after="105" w:line="259" w:lineRule="auto"/>
        <w:ind w:right="0" w:hanging="360"/>
      </w:pPr>
      <w:r>
        <w:t xml:space="preserve">Word limit for Question C – 600 words </w:t>
      </w:r>
      <w:r>
        <w:t xml:space="preserve"> </w:t>
      </w:r>
    </w:p>
    <w:p w14:paraId="185A8F84" w14:textId="77777777" w:rsidR="00534A5D" w:rsidRDefault="007F1828">
      <w:pPr>
        <w:spacing w:after="79" w:line="259" w:lineRule="auto"/>
        <w:ind w:left="285" w:right="0" w:firstLine="0"/>
        <w:jc w:val="left"/>
      </w:pPr>
      <w:r>
        <w:t xml:space="preserve"> </w:t>
      </w:r>
    </w:p>
    <w:p w14:paraId="6540680F" w14:textId="77777777" w:rsidR="00534A5D" w:rsidRDefault="007F1828">
      <w:pPr>
        <w:spacing w:after="81" w:line="259" w:lineRule="auto"/>
        <w:ind w:left="285" w:right="0" w:firstLine="0"/>
        <w:jc w:val="left"/>
      </w:pPr>
      <w:r>
        <w:rPr>
          <w:rFonts w:ascii="Arial" w:eastAsia="Arial" w:hAnsi="Arial" w:cs="Arial"/>
          <w:b/>
          <w:i/>
        </w:rPr>
        <w:t xml:space="preserve"> </w:t>
      </w:r>
    </w:p>
    <w:p w14:paraId="72E4EE9F" w14:textId="77777777" w:rsidR="00534A5D" w:rsidRDefault="007F1828">
      <w:pPr>
        <w:spacing w:after="81" w:line="259" w:lineRule="auto"/>
        <w:ind w:left="285" w:right="0" w:firstLine="0"/>
        <w:jc w:val="left"/>
      </w:pPr>
      <w:r>
        <w:rPr>
          <w:rFonts w:ascii="Arial" w:eastAsia="Arial" w:hAnsi="Arial" w:cs="Arial"/>
          <w:b/>
          <w:i/>
        </w:rPr>
        <w:t xml:space="preserve"> </w:t>
      </w:r>
    </w:p>
    <w:p w14:paraId="53A34E89" w14:textId="77777777" w:rsidR="00534A5D" w:rsidRDefault="007F1828">
      <w:pPr>
        <w:pStyle w:val="Heading2"/>
        <w:ind w:left="280"/>
      </w:pPr>
      <w:r>
        <w:t xml:space="preserve">Part A: Contracts Law Question </w:t>
      </w:r>
      <w:r>
        <w:rPr>
          <w:i w:val="0"/>
        </w:rPr>
        <w:t xml:space="preserve">(20 marks) </w:t>
      </w:r>
    </w:p>
    <w:p w14:paraId="3B08B284" w14:textId="77777777" w:rsidR="00534A5D" w:rsidRDefault="007F1828">
      <w:pPr>
        <w:spacing w:after="78" w:line="259" w:lineRule="auto"/>
        <w:ind w:left="285" w:right="0" w:firstLine="0"/>
        <w:jc w:val="left"/>
      </w:pPr>
      <w:r>
        <w:t xml:space="preserve"> </w:t>
      </w:r>
    </w:p>
    <w:p w14:paraId="57B53623" w14:textId="77777777" w:rsidR="00534A5D" w:rsidRDefault="007F1828">
      <w:pPr>
        <w:ind w:left="295" w:right="0"/>
      </w:pPr>
      <w:r>
        <w:t>Emily, a 52-year-</w:t>
      </w:r>
      <w:r>
        <w:t xml:space="preserve">old widow with limited English proficiency, has recently become more involved in her community group. She regularly attends the local community centre and often discusses personal matters with Coordinator Mark, the centre’s manager. Emily mentioned to him that she was considering selling her home and moving to a smaller unit. Coordinator Mark mentioned that </w:t>
      </w:r>
      <w:r>
        <w:lastRenderedPageBreak/>
        <w:t>a small property next to the community centre would soon be available, and that he was looking for a new place to live.</w:t>
      </w:r>
      <w:r>
        <w:t xml:space="preserve"> </w:t>
      </w:r>
    </w:p>
    <w:p w14:paraId="5DEAC1CB" w14:textId="77777777" w:rsidR="00534A5D" w:rsidRDefault="007F1828">
      <w:pPr>
        <w:spacing w:after="79" w:line="259" w:lineRule="auto"/>
        <w:ind w:left="285" w:right="0" w:firstLine="0"/>
        <w:jc w:val="left"/>
      </w:pPr>
      <w:r>
        <w:t xml:space="preserve"> </w:t>
      </w:r>
    </w:p>
    <w:p w14:paraId="121963DD" w14:textId="77777777" w:rsidR="00534A5D" w:rsidRDefault="007F1828">
      <w:pPr>
        <w:ind w:left="295" w:right="0"/>
      </w:pPr>
      <w:r>
        <w:t>Emily immediately offered to sell her home to Mark for $380,000, based on a neighbour’s comment that a nearby property had sold for $750,000 — not realising this was only half of its actual market value. Mark knew Emily was unlikely to reconsider once she had made a decision.</w:t>
      </w:r>
      <w:r>
        <w:t xml:space="preserve"> </w:t>
      </w:r>
    </w:p>
    <w:p w14:paraId="7318C3F6" w14:textId="77777777" w:rsidR="00534A5D" w:rsidRDefault="007F1828">
      <w:pPr>
        <w:spacing w:after="79" w:line="259" w:lineRule="auto"/>
        <w:ind w:left="285" w:right="0" w:firstLine="0"/>
        <w:jc w:val="left"/>
      </w:pPr>
      <w:r>
        <w:t xml:space="preserve"> </w:t>
      </w:r>
    </w:p>
    <w:p w14:paraId="1822BACB" w14:textId="77777777" w:rsidR="00534A5D" w:rsidRDefault="007F1828">
      <w:pPr>
        <w:ind w:left="295" w:right="0"/>
      </w:pPr>
      <w:r>
        <w:t>Meanwhile, Emily’s 16-year-old daughter, Sophie, is a talented swimmer. Several contracts have been entered into:</w:t>
      </w:r>
      <w:r>
        <w:t xml:space="preserve"> </w:t>
      </w:r>
    </w:p>
    <w:p w14:paraId="0764ABFB" w14:textId="77777777" w:rsidR="00534A5D" w:rsidRDefault="007F1828">
      <w:pPr>
        <w:spacing w:after="102" w:line="259" w:lineRule="auto"/>
        <w:ind w:left="285" w:right="0" w:firstLine="0"/>
        <w:jc w:val="left"/>
      </w:pPr>
      <w:r>
        <w:t xml:space="preserve"> </w:t>
      </w:r>
    </w:p>
    <w:p w14:paraId="3C26726F" w14:textId="77777777" w:rsidR="00534A5D" w:rsidRDefault="007F1828">
      <w:pPr>
        <w:numPr>
          <w:ilvl w:val="0"/>
          <w:numId w:val="2"/>
        </w:numPr>
        <w:ind w:right="0" w:hanging="361"/>
      </w:pPr>
      <w:r>
        <w:t xml:space="preserve">Sports Management Agreement – Emily signed a three-year contract with Prime Sports Agency Pty Ltd, giving them exclusive rights to manage Sophie’s sponsorships, endorsements, and competition entries. </w:t>
      </w:r>
      <w:r>
        <w:t xml:space="preserve"> </w:t>
      </w:r>
    </w:p>
    <w:p w14:paraId="2A00D348" w14:textId="77777777" w:rsidR="00534A5D" w:rsidRDefault="007F1828">
      <w:pPr>
        <w:numPr>
          <w:ilvl w:val="0"/>
          <w:numId w:val="2"/>
        </w:numPr>
        <w:ind w:right="0" w:hanging="361"/>
      </w:pPr>
      <w:r>
        <w:t xml:space="preserve">Endorsement Agreement – Emily signed a two-year contract with WaveWear Swim Apparel Pty Ltd, under which Sophie must wear only WaveWear products. In return, Sophie receives free swim gear and annual payments of $35,000. The contract provides that if Sophie breaches exclusivity, she must repay the value of the supplied equipment and pay additional damages. </w:t>
      </w:r>
      <w:r>
        <w:t xml:space="preserve"> </w:t>
      </w:r>
    </w:p>
    <w:p w14:paraId="7CB64B84" w14:textId="77777777" w:rsidR="00534A5D" w:rsidRDefault="007F1828">
      <w:pPr>
        <w:numPr>
          <w:ilvl w:val="0"/>
          <w:numId w:val="2"/>
        </w:numPr>
        <w:ind w:right="0" w:hanging="361"/>
      </w:pPr>
      <w:r>
        <w:t xml:space="preserve">Competition Entry Agreement – Sophie, without Emily’s knowledge, signed a short-term agreement with the National Junior Swimming League to participate in its upcoming national competitions. </w:t>
      </w:r>
      <w:r>
        <w:t xml:space="preserve"> </w:t>
      </w:r>
    </w:p>
    <w:p w14:paraId="787C0966" w14:textId="77777777" w:rsidR="00534A5D" w:rsidRDefault="007F1828">
      <w:pPr>
        <w:ind w:left="295" w:right="0"/>
      </w:pPr>
      <w:r>
        <w:t>After one year, Emily and Sophie are dissatisfied with the Prime Sports and WaveWear agreements and wish to terminate them, claiming they are unfair and not in Sophie’s best interests.</w:t>
      </w:r>
      <w:r>
        <w:t xml:space="preserve"> </w:t>
      </w:r>
    </w:p>
    <w:p w14:paraId="49819766" w14:textId="77777777" w:rsidR="00534A5D" w:rsidRDefault="007F1828">
      <w:pPr>
        <w:spacing w:after="79" w:line="259" w:lineRule="auto"/>
        <w:ind w:left="285" w:right="0" w:firstLine="0"/>
        <w:jc w:val="left"/>
      </w:pPr>
      <w:r>
        <w:t xml:space="preserve"> </w:t>
      </w:r>
    </w:p>
    <w:p w14:paraId="0B99FBF3" w14:textId="77777777" w:rsidR="00534A5D" w:rsidRDefault="007F1828">
      <w:pPr>
        <w:ind w:left="295" w:right="0"/>
      </w:pPr>
      <w:r>
        <w:t>What legal rights do Emily and Sophie have to set aside or terminate the various agreements, and what factors will a court consider in determining whether those agreements are enforceable?</w:t>
      </w:r>
      <w:r>
        <w:t xml:space="preserve"> </w:t>
      </w:r>
    </w:p>
    <w:p w14:paraId="794EFE56" w14:textId="77777777" w:rsidR="006D7A3D" w:rsidRDefault="006D7A3D" w:rsidP="006D7A3D">
      <w:pPr>
        <w:ind w:left="295" w:right="0"/>
      </w:pPr>
    </w:p>
    <w:p w14:paraId="719090D2" w14:textId="26D36D40" w:rsidR="006D7A3D" w:rsidRDefault="006D7A3D" w:rsidP="00F0011C">
      <w:pPr>
        <w:ind w:left="295" w:right="0"/>
      </w:pPr>
      <w:r>
        <w:t>Issue</w:t>
      </w:r>
    </w:p>
    <w:p w14:paraId="5210C378" w14:textId="77777777" w:rsidR="006D7A3D" w:rsidRDefault="006D7A3D" w:rsidP="00F0011C">
      <w:pPr>
        <w:ind w:left="270" w:right="0" w:firstLine="0"/>
      </w:pPr>
      <w:r>
        <w:t>The key legal issues are whether Emily can rescind the sale of her home to Mark due to unconscionable conduct or equitable unfairness, and whether the contracts involving Sophie (a minor) are enforceable or can be terminated because of minority, parental authority, restraint, or unfair contractual terms. The court must determine whether these agreements are legally binding and whether equitable or statutory remedies apply.</w:t>
      </w:r>
    </w:p>
    <w:p w14:paraId="2A5D89B9" w14:textId="77777777" w:rsidR="000A5B0E" w:rsidRDefault="000A5B0E" w:rsidP="00F0011C">
      <w:pPr>
        <w:ind w:left="270" w:right="0" w:firstLine="0"/>
      </w:pPr>
    </w:p>
    <w:p w14:paraId="58049879" w14:textId="2D1436F8" w:rsidR="006D7A3D" w:rsidRDefault="00F0011C" w:rsidP="00F0011C">
      <w:pPr>
        <w:ind w:left="0" w:right="0" w:firstLine="0"/>
      </w:pPr>
      <w:r>
        <w:t xml:space="preserve">       </w:t>
      </w:r>
      <w:r w:rsidR="006D7A3D">
        <w:t>Rule</w:t>
      </w:r>
    </w:p>
    <w:p w14:paraId="7B0296EB" w14:textId="7B8DA41A" w:rsidR="006D7A3D" w:rsidRDefault="006D7A3D" w:rsidP="00F0011C">
      <w:pPr>
        <w:ind w:right="0"/>
      </w:pPr>
      <w:r>
        <w:t>A valid contract requires offer, acceptance, consideration, intention, capacity, and genuine consent (Holmes Institute 2026, Week 2, slide 5). Contracts may be set aside where consent is affected by unconscionable conduct, undue influence, or misleading conduct. Under equitable principles, unconscionable dealing arises where one party suffers from a special disadvantage and the stronger party knowingly exploits that disadvantage (Commercial Bank of Australia Ltd v Amadio (1983) 151 CLR 447). Limited English, emotional dependence, and unequal bargaining power may establish special disadvantage. Genuine consent is essential to enforceability (Holmes Institute 2026, Week 2, slides 5</w:t>
      </w:r>
      <w:r>
        <w:rPr>
          <w:rFonts w:hint="eastAsia"/>
        </w:rPr>
        <w:t>–</w:t>
      </w:r>
      <w:r>
        <w:t>8).</w:t>
      </w:r>
    </w:p>
    <w:p w14:paraId="0B153FE6" w14:textId="051CEE17" w:rsidR="006D7A3D" w:rsidRDefault="006D7A3D" w:rsidP="00F0011C">
      <w:pPr>
        <w:ind w:left="295" w:right="0"/>
      </w:pPr>
      <w:r>
        <w:t>Minors generally lack full contractual capacity. Contracts for necessities or beneficial contracts of service may be enforceable, while contracts that are harsh or not for the minor</w:t>
      </w:r>
      <w:r>
        <w:rPr>
          <w:rFonts w:hint="eastAsia"/>
        </w:rPr>
        <w:t>’</w:t>
      </w:r>
      <w:r>
        <w:t>s benefit may be voidable at the minor</w:t>
      </w:r>
      <w:r>
        <w:rPr>
          <w:rFonts w:hint="eastAsia"/>
        </w:rPr>
        <w:t>’</w:t>
      </w:r>
      <w:r>
        <w:t>s option. Courts assess whether the agreement substantially benefits the minor</w:t>
      </w:r>
      <w:r>
        <w:rPr>
          <w:rFonts w:hint="eastAsia"/>
        </w:rPr>
        <w:t>’</w:t>
      </w:r>
      <w:r>
        <w:t>s welfare, career, or education. Parents may enter contracts on behalf of minors, but such agreements remain subject to the child</w:t>
      </w:r>
      <w:r>
        <w:rPr>
          <w:rFonts w:hint="eastAsia"/>
        </w:rPr>
        <w:t>’</w:t>
      </w:r>
      <w:r>
        <w:t>s best interests. Penalty clauses requiring excessive compensation may be unenforceable if they are punitive rather than a genuine pre-estimate of loss (Holmes Institute 2026, Week 3, slides 3</w:t>
      </w:r>
      <w:r>
        <w:rPr>
          <w:rFonts w:hint="eastAsia"/>
        </w:rPr>
        <w:t>–</w:t>
      </w:r>
      <w:r>
        <w:t>5)</w:t>
      </w:r>
      <w:r w:rsidR="000A5B0E">
        <w:t>.</w:t>
      </w:r>
    </w:p>
    <w:p w14:paraId="46C70E1F" w14:textId="77777777" w:rsidR="000A5B0E" w:rsidRDefault="000A5B0E" w:rsidP="00F0011C">
      <w:pPr>
        <w:ind w:left="295" w:right="0"/>
      </w:pPr>
    </w:p>
    <w:p w14:paraId="49410736" w14:textId="77777777" w:rsidR="006D7A3D" w:rsidRDefault="006D7A3D" w:rsidP="00F0011C">
      <w:pPr>
        <w:ind w:right="0"/>
      </w:pPr>
      <w:r>
        <w:t>Application</w:t>
      </w:r>
    </w:p>
    <w:p w14:paraId="4E34D51B" w14:textId="62E1236E" w:rsidR="006D7A3D" w:rsidRDefault="006D7A3D" w:rsidP="00F0011C">
      <w:pPr>
        <w:ind w:left="295" w:right="0"/>
      </w:pPr>
      <w:r>
        <w:t>1. Emily</w:t>
      </w:r>
      <w:r>
        <w:rPr>
          <w:rFonts w:hint="eastAsia"/>
        </w:rPr>
        <w:t>’</w:t>
      </w:r>
      <w:r>
        <w:t>s Home Sale to Mark</w:t>
      </w:r>
    </w:p>
    <w:p w14:paraId="44E96CA7" w14:textId="72191304" w:rsidR="006D7A3D" w:rsidRDefault="006D7A3D" w:rsidP="00F0011C">
      <w:pPr>
        <w:ind w:left="295" w:right="0"/>
      </w:pPr>
      <w:r>
        <w:t>Emily offered to sell her home for $380,000 based on a mistaken understanding of market value, believing $750,000 represented full value when it was only half. Mark, as community coordinator and trusted confidant, was aware Emily relied on him and was unlikely to reconsider. Emily</w:t>
      </w:r>
      <w:r>
        <w:rPr>
          <w:rFonts w:hint="eastAsia"/>
        </w:rPr>
        <w:t>’</w:t>
      </w:r>
      <w:r>
        <w:t>s limited English proficiency, emotional vulnerability as a widow, and trust relationship suggest a special disadvantage. Mark</w:t>
      </w:r>
      <w:r>
        <w:rPr>
          <w:rFonts w:hint="eastAsia"/>
        </w:rPr>
        <w:t>’</w:t>
      </w:r>
      <w:r>
        <w:t>s knowledge and exploitation of this vulnerability strongly resemble the principles in Amadio (Commercial Bank of Australia Ltd v Amadio (1983) 151 CLR 447).</w:t>
      </w:r>
    </w:p>
    <w:p w14:paraId="185B98F9" w14:textId="46FB7B69" w:rsidR="006D7A3D" w:rsidRDefault="006D7A3D" w:rsidP="00F0011C">
      <w:pPr>
        <w:ind w:left="295" w:right="0"/>
      </w:pPr>
      <w:r>
        <w:t>A court may find unconscionable conduct because Mark knowingly took advantage of Emily</w:t>
      </w:r>
      <w:r>
        <w:rPr>
          <w:rFonts w:hint="eastAsia"/>
        </w:rPr>
        <w:t>’</w:t>
      </w:r>
      <w:r>
        <w:t>s misunderstanding for personal benefit. Equity may permit rescission because Emily</w:t>
      </w:r>
      <w:r>
        <w:rPr>
          <w:rFonts w:hint="eastAsia"/>
        </w:rPr>
        <w:t>’</w:t>
      </w:r>
      <w:r>
        <w:t>s consent may not have been fully informed or genuinely independent. If Mark failed to correct Emily</w:t>
      </w:r>
      <w:r>
        <w:rPr>
          <w:rFonts w:hint="eastAsia"/>
        </w:rPr>
        <w:t>’</w:t>
      </w:r>
      <w:r>
        <w:t>s mistake while benefiting from it, statutory remedies under the Australian Consumer Law may also be relevant (Holmes Institute 2026, Week 6, Consumer Protection slides). Therefore, Emily likely has strong grounds to set aside the property sale.</w:t>
      </w:r>
    </w:p>
    <w:p w14:paraId="7A110AB9" w14:textId="77777777" w:rsidR="00F0011C" w:rsidRDefault="00F0011C" w:rsidP="00F0011C">
      <w:pPr>
        <w:ind w:left="295" w:right="0"/>
      </w:pPr>
    </w:p>
    <w:p w14:paraId="138DA7DB" w14:textId="38BA47D5" w:rsidR="006D7A3D" w:rsidRDefault="006D7A3D" w:rsidP="00F0011C">
      <w:pPr>
        <w:ind w:left="295" w:right="0"/>
      </w:pPr>
      <w:r>
        <w:t>2. Prime Sports Management Agreement</w:t>
      </w:r>
    </w:p>
    <w:p w14:paraId="4623008F" w14:textId="5D62844E" w:rsidR="006D7A3D" w:rsidRDefault="006D7A3D" w:rsidP="00F0011C">
      <w:pPr>
        <w:ind w:left="285" w:right="0" w:firstLine="0"/>
      </w:pPr>
      <w:r>
        <w:t>Emily signed a three-year exclusive management agreement on Sophie</w:t>
      </w:r>
      <w:r>
        <w:rPr>
          <w:rFonts w:hint="eastAsia"/>
        </w:rPr>
        <w:t>’</w:t>
      </w:r>
      <w:r>
        <w:t>s behalf. Since Sophie is a minor, the court will assess whether this is a beneficial contract of service. If Prime Sports genuinely promotes Sophie</w:t>
      </w:r>
      <w:r>
        <w:rPr>
          <w:rFonts w:hint="eastAsia"/>
        </w:rPr>
        <w:t>’</w:t>
      </w:r>
      <w:r>
        <w:t>s swimming career through sponsorship and competition opportunities, it may be enforceable. However, if the exclusivity is excessive, restrictive, or primarily benefits the agency, the agreement may be voidable.</w:t>
      </w:r>
    </w:p>
    <w:p w14:paraId="76111D23" w14:textId="277A7A95" w:rsidR="006D7A3D" w:rsidRDefault="006D7A3D" w:rsidP="00F0011C">
      <w:pPr>
        <w:ind w:left="295" w:right="0"/>
      </w:pPr>
      <w:r>
        <w:t>The three-year duration may be scrutinised as oppressive, especially if it limits Sophie</w:t>
      </w:r>
      <w:r>
        <w:rPr>
          <w:rFonts w:hint="eastAsia"/>
        </w:rPr>
        <w:t>’</w:t>
      </w:r>
      <w:r>
        <w:t>s future opportunities. Courts will consider Sophie</w:t>
      </w:r>
      <w:r>
        <w:rPr>
          <w:rFonts w:hint="eastAsia"/>
        </w:rPr>
        <w:t>’</w:t>
      </w:r>
      <w:r>
        <w:t>s welfare, professional advancement, and whether Emily understood the agreement</w:t>
      </w:r>
      <w:r>
        <w:rPr>
          <w:rFonts w:hint="eastAsia"/>
        </w:rPr>
        <w:t>’</w:t>
      </w:r>
      <w:r>
        <w:t>s implications before signing. If the contract is not in Sophie</w:t>
      </w:r>
      <w:r>
        <w:rPr>
          <w:rFonts w:hint="eastAsia"/>
        </w:rPr>
        <w:t>’</w:t>
      </w:r>
      <w:r>
        <w:t>s best interests, it may be set aside or terminated (Holmes Institute 2026, Week 2, slide 5).</w:t>
      </w:r>
    </w:p>
    <w:p w14:paraId="1E535A54" w14:textId="20BD5C3B" w:rsidR="006D7A3D" w:rsidRDefault="006D7A3D" w:rsidP="00F0011C">
      <w:pPr>
        <w:ind w:left="295" w:right="0"/>
      </w:pPr>
      <w:r>
        <w:t>3. WaveWear Endorsement Agreement</w:t>
      </w:r>
    </w:p>
    <w:p w14:paraId="34FC1B59" w14:textId="1B87FC75" w:rsidR="006D7A3D" w:rsidRDefault="006D7A3D" w:rsidP="00F0011C">
      <w:pPr>
        <w:ind w:left="295" w:right="0"/>
      </w:pPr>
      <w:r>
        <w:t>The WaveWear contract provides Sophie with free equipment and annual payments of $35,000 in return for exclusivity. This may appear beneficial because it provides financial support and sporting sponsorship. However, courts will examine whether the exclusivity clause unreasonably restrains Sophie</w:t>
      </w:r>
      <w:r>
        <w:rPr>
          <w:rFonts w:hint="eastAsia"/>
        </w:rPr>
        <w:t>’</w:t>
      </w:r>
      <w:r>
        <w:t>s commercial freedom.</w:t>
      </w:r>
    </w:p>
    <w:p w14:paraId="46B2011E" w14:textId="77777777" w:rsidR="006D7A3D" w:rsidRDefault="006D7A3D" w:rsidP="00F0011C">
      <w:pPr>
        <w:ind w:right="0"/>
      </w:pPr>
      <w:r>
        <w:t>The requirement to repay all equipment plus additional damages if Sophie breaches may constitute a penalty clause if disproportionate to actual loss. Under contract law, punitive clauses are often unenforceable. If the restraint is unreasonable or the obligations are not in Sophie</w:t>
      </w:r>
      <w:r>
        <w:rPr>
          <w:rFonts w:hint="eastAsia"/>
        </w:rPr>
        <w:t>’</w:t>
      </w:r>
      <w:r>
        <w:t>s best interests, the contract or specific terms may be voidable (Holmes Institute 2026, Week 3, remedies slides).</w:t>
      </w:r>
    </w:p>
    <w:p w14:paraId="35E1C94B" w14:textId="77777777" w:rsidR="006D7A3D" w:rsidRDefault="006D7A3D" w:rsidP="006D7A3D">
      <w:pPr>
        <w:ind w:left="295" w:right="0"/>
      </w:pPr>
    </w:p>
    <w:p w14:paraId="7E05BCBA" w14:textId="7AD54527" w:rsidR="006D7A3D" w:rsidRDefault="006D7A3D" w:rsidP="00F0011C">
      <w:pPr>
        <w:ind w:left="295" w:right="0"/>
      </w:pPr>
      <w:r>
        <w:t>4. National Junior Swimming League Agreement</w:t>
      </w:r>
    </w:p>
    <w:p w14:paraId="7DD44C61" w14:textId="62CAE339" w:rsidR="006D7A3D" w:rsidRDefault="006D7A3D" w:rsidP="00F0011C">
      <w:pPr>
        <w:ind w:left="295" w:right="0"/>
      </w:pPr>
      <w:r>
        <w:t>Sophie independently entered into a short-term competition agreement without Emily</w:t>
      </w:r>
      <w:r>
        <w:rPr>
          <w:rFonts w:hint="eastAsia"/>
        </w:rPr>
        <w:t>’</w:t>
      </w:r>
      <w:r>
        <w:t>s knowledge. Although minors generally have limited capacity, beneficial contracts for career advancement may be enforceable. Participation in national swimming competitions likely enhances Sophie</w:t>
      </w:r>
      <w:r>
        <w:rPr>
          <w:rFonts w:hint="eastAsia"/>
        </w:rPr>
        <w:t>’</w:t>
      </w:r>
      <w:r>
        <w:t>s development and may therefore be considered beneficial.</w:t>
      </w:r>
    </w:p>
    <w:p w14:paraId="5483176E" w14:textId="77777777" w:rsidR="006D7A3D" w:rsidRDefault="006D7A3D" w:rsidP="006D7A3D">
      <w:pPr>
        <w:ind w:left="295" w:right="0"/>
      </w:pPr>
      <w:r>
        <w:t>Because this contract is short-term and directly related to Sophie</w:t>
      </w:r>
      <w:r>
        <w:rPr>
          <w:rFonts w:hint="eastAsia"/>
        </w:rPr>
        <w:t>’</w:t>
      </w:r>
      <w:r>
        <w:t>s sporting career, it is more likely enforceable unless exploitative or unduly burdensome. Emily</w:t>
      </w:r>
      <w:r>
        <w:rPr>
          <w:rFonts w:hint="eastAsia"/>
        </w:rPr>
        <w:t>’</w:t>
      </w:r>
      <w:r>
        <w:t>s lack of knowledge alone may not invalidate it.</w:t>
      </w:r>
    </w:p>
    <w:p w14:paraId="4426A9E8" w14:textId="77777777" w:rsidR="006D7A3D" w:rsidRDefault="006D7A3D" w:rsidP="006D7A3D">
      <w:pPr>
        <w:ind w:left="295" w:right="0"/>
      </w:pPr>
    </w:p>
    <w:p w14:paraId="3161A8E4" w14:textId="1C7BFDDE" w:rsidR="006D7A3D" w:rsidRDefault="006D7A3D" w:rsidP="00F0011C">
      <w:pPr>
        <w:ind w:left="295" w:right="0"/>
      </w:pPr>
      <w:r>
        <w:t>Conclusion</w:t>
      </w:r>
    </w:p>
    <w:p w14:paraId="0A9904F4" w14:textId="77777777" w:rsidR="006D7A3D" w:rsidRDefault="006D7A3D" w:rsidP="006D7A3D">
      <w:pPr>
        <w:ind w:left="295" w:right="0"/>
      </w:pPr>
      <w:r>
        <w:t>Emily likely has strong legal grounds to rescind the home sale due to unconscionable conduct because Mark exploited her limited English, vulnerability, and trust.</w:t>
      </w:r>
    </w:p>
    <w:p w14:paraId="2B5FBB1D" w14:textId="77777777" w:rsidR="006D7A3D" w:rsidRDefault="006D7A3D" w:rsidP="006D7A3D">
      <w:pPr>
        <w:ind w:left="295" w:right="0"/>
      </w:pPr>
    </w:p>
    <w:p w14:paraId="3E4CCE0E" w14:textId="5BC6E04C" w:rsidR="006D7A3D" w:rsidRDefault="006D7A3D" w:rsidP="00F0011C">
      <w:pPr>
        <w:ind w:left="295" w:right="0"/>
      </w:pPr>
      <w:r>
        <w:t>For Sophie</w:t>
      </w:r>
      <w:r>
        <w:rPr>
          <w:rFonts w:hint="eastAsia"/>
        </w:rPr>
        <w:t>’</w:t>
      </w:r>
      <w:r>
        <w:t>s agreements:</w:t>
      </w:r>
    </w:p>
    <w:p w14:paraId="2389CC4C" w14:textId="77777777" w:rsidR="006D7A3D" w:rsidRDefault="006D7A3D" w:rsidP="006D7A3D">
      <w:pPr>
        <w:ind w:left="295" w:right="0"/>
      </w:pPr>
      <w:r>
        <w:t>Prime Sports Agreement: Potentially voidable if excessively restrictive or not genuinely beneficial.</w:t>
      </w:r>
    </w:p>
    <w:p w14:paraId="786F57F2" w14:textId="77777777" w:rsidR="006D7A3D" w:rsidRDefault="006D7A3D" w:rsidP="006D7A3D">
      <w:pPr>
        <w:ind w:left="295" w:right="0"/>
      </w:pPr>
      <w:r>
        <w:t>WaveWear Agreement: May be enforceable if beneficial, but exclusivity and penalty clauses may be struck down if unreasonable.</w:t>
      </w:r>
    </w:p>
    <w:p w14:paraId="7898695A" w14:textId="7797BBB7" w:rsidR="006D7A3D" w:rsidRDefault="006D7A3D" w:rsidP="00F0011C">
      <w:pPr>
        <w:ind w:left="295" w:right="0"/>
      </w:pPr>
      <w:r>
        <w:t>National Junior Swimming League Agreement: Likely enforceable if beneficial to Sophie</w:t>
      </w:r>
      <w:r>
        <w:rPr>
          <w:rFonts w:hint="eastAsia"/>
        </w:rPr>
        <w:t>’</w:t>
      </w:r>
      <w:r>
        <w:t>s swimming career.</w:t>
      </w:r>
    </w:p>
    <w:p w14:paraId="355E36C4" w14:textId="0A0E8ECB" w:rsidR="00383DF3" w:rsidRDefault="006D7A3D">
      <w:pPr>
        <w:ind w:left="295" w:right="0"/>
      </w:pPr>
      <w:r>
        <w:t>Overall, courts will consider contractual capacity, genuine consent, fairness, best interests of the minor, and whether stronger parties exploited weaker parties. Emily and Sophie</w:t>
      </w:r>
      <w:r>
        <w:rPr>
          <w:rFonts w:hint="eastAsia"/>
        </w:rPr>
        <w:t>’</w:t>
      </w:r>
      <w:r>
        <w:t>s strongest legal protections arise from unconscionability principles, minor capacity rules, and limitations on unfair contractual penalties.</w:t>
      </w:r>
    </w:p>
    <w:p w14:paraId="2D634F3A" w14:textId="77777777" w:rsidR="00534A5D" w:rsidRDefault="007F1828">
      <w:pPr>
        <w:spacing w:after="79" w:line="259" w:lineRule="auto"/>
        <w:ind w:left="285" w:right="0" w:firstLine="0"/>
        <w:jc w:val="left"/>
      </w:pPr>
      <w:r>
        <w:t xml:space="preserve"> </w:t>
      </w:r>
    </w:p>
    <w:p w14:paraId="55E33584" w14:textId="77777777" w:rsidR="00534A5D" w:rsidRDefault="007F1828">
      <w:pPr>
        <w:spacing w:after="94" w:line="259" w:lineRule="auto"/>
        <w:ind w:left="285" w:right="0" w:firstLine="0"/>
        <w:jc w:val="left"/>
      </w:pPr>
      <w:r>
        <w:t xml:space="preserve"> </w:t>
      </w:r>
    </w:p>
    <w:p w14:paraId="0888F3CE" w14:textId="77777777" w:rsidR="00534A5D" w:rsidRDefault="007F1828">
      <w:pPr>
        <w:spacing w:after="108" w:line="259" w:lineRule="auto"/>
        <w:ind w:left="285" w:right="0" w:firstLine="0"/>
        <w:jc w:val="left"/>
      </w:pPr>
      <w:r>
        <w:rPr>
          <w:rFonts w:ascii="Calibri" w:eastAsia="Calibri" w:hAnsi="Calibri" w:cs="Calibri"/>
        </w:rPr>
        <w:t xml:space="preserve"> </w:t>
      </w:r>
    </w:p>
    <w:p w14:paraId="08FDDA11" w14:textId="77777777" w:rsidR="00534A5D" w:rsidRDefault="007F1828">
      <w:pPr>
        <w:pStyle w:val="Heading2"/>
        <w:spacing w:after="111"/>
        <w:ind w:left="280"/>
      </w:pPr>
      <w:r>
        <w:t xml:space="preserve">Part B: Negligence Law question </w:t>
      </w:r>
      <w:r>
        <w:rPr>
          <w:i w:val="0"/>
        </w:rPr>
        <w:t xml:space="preserve">(10 marks) </w:t>
      </w:r>
    </w:p>
    <w:p w14:paraId="0DA36272" w14:textId="77777777" w:rsidR="00534A5D" w:rsidRDefault="007F1828">
      <w:pPr>
        <w:spacing w:after="109" w:line="259" w:lineRule="auto"/>
        <w:ind w:left="285" w:right="0" w:firstLine="0"/>
        <w:jc w:val="left"/>
      </w:pPr>
      <w:r>
        <w:rPr>
          <w:rFonts w:ascii="Calibri" w:eastAsia="Calibri" w:hAnsi="Calibri" w:cs="Calibri"/>
        </w:rPr>
        <w:t xml:space="preserve"> </w:t>
      </w:r>
    </w:p>
    <w:p w14:paraId="50045F98" w14:textId="77777777" w:rsidR="00534A5D" w:rsidRDefault="007F1828">
      <w:pPr>
        <w:ind w:left="295" w:right="0"/>
      </w:pPr>
      <w:r>
        <w:t>A group of accountants has recently established a professional partnership known as Carter Tax Solutions, specialising in Australian income tax advisory services. The firm provides tax planning and compliance advice to individual and business clients.</w:t>
      </w:r>
      <w:r>
        <w:t xml:space="preserve"> </w:t>
      </w:r>
    </w:p>
    <w:p w14:paraId="52D41C31" w14:textId="77777777" w:rsidR="00534A5D" w:rsidRDefault="007F1828">
      <w:pPr>
        <w:spacing w:after="109" w:line="259" w:lineRule="auto"/>
        <w:ind w:left="285" w:right="0" w:firstLine="0"/>
        <w:jc w:val="left"/>
      </w:pPr>
      <w:r>
        <w:t xml:space="preserve"> </w:t>
      </w:r>
    </w:p>
    <w:p w14:paraId="2E4A52B4" w14:textId="77777777" w:rsidR="00534A5D" w:rsidRDefault="007F1828">
      <w:pPr>
        <w:spacing w:after="8" w:line="366" w:lineRule="auto"/>
        <w:ind w:left="1" w:right="0" w:hanging="1"/>
        <w:jc w:val="center"/>
      </w:pPr>
      <w:r>
        <w:lastRenderedPageBreak/>
        <w:t xml:space="preserve">Mr. Ethan Walker, a client of the firm, approaches Carter Tax Solutions seeking professional advice on lawful ways to minimise his tax liability. After reviewing his financial circumstances, the firm provides detailed tax minimisation strategies. Relying on this advice, Ethan pays the agreed professional fee and </w:t>
      </w:r>
    </w:p>
    <w:p w14:paraId="74538121" w14:textId="77777777" w:rsidR="00534A5D" w:rsidRDefault="007F1828">
      <w:pPr>
        <w:spacing w:after="124" w:line="259" w:lineRule="auto"/>
        <w:ind w:left="295" w:right="0"/>
      </w:pPr>
      <w:r>
        <w:t>implements the recommendations.</w:t>
      </w:r>
      <w:r>
        <w:t xml:space="preserve"> </w:t>
      </w:r>
    </w:p>
    <w:p w14:paraId="428DC29A" w14:textId="77777777" w:rsidR="00534A5D" w:rsidRDefault="007F1828">
      <w:pPr>
        <w:spacing w:after="109" w:line="259" w:lineRule="auto"/>
        <w:ind w:left="285" w:right="0" w:firstLine="0"/>
        <w:jc w:val="left"/>
      </w:pPr>
      <w:r>
        <w:t xml:space="preserve"> </w:t>
      </w:r>
    </w:p>
    <w:p w14:paraId="536F7246" w14:textId="77777777" w:rsidR="00534A5D" w:rsidRDefault="007F1828">
      <w:pPr>
        <w:ind w:left="295" w:right="0"/>
      </w:pPr>
      <w:r>
        <w:t>Subsequently, the Australian Taxation Office conducts an audit of Ethan’s affairs and determines that the advice was based on an incorrect interpretation of relevant tax legislation. As a result, Ethan becomes liable to pay a substantial amount of unpaid tax, together with interest and penalties, totalling $950,000. Ethan claims that he relied entirely on the professional advice provided by Carter Tax Solutions and would not have acted otherwise.</w:t>
      </w:r>
      <w:r>
        <w:t xml:space="preserve"> </w:t>
      </w:r>
    </w:p>
    <w:p w14:paraId="757FC995" w14:textId="77777777" w:rsidR="00534A5D" w:rsidRDefault="007F1828">
      <w:pPr>
        <w:spacing w:after="124" w:line="259" w:lineRule="auto"/>
        <w:ind w:left="285" w:right="0" w:firstLine="0"/>
        <w:jc w:val="left"/>
      </w:pPr>
      <w:r>
        <w:t xml:space="preserve"> </w:t>
      </w:r>
    </w:p>
    <w:p w14:paraId="42655762" w14:textId="77777777" w:rsidR="00534A5D" w:rsidRDefault="007F1828">
      <w:pPr>
        <w:spacing w:after="8" w:line="366" w:lineRule="auto"/>
        <w:ind w:left="300" w:right="0" w:hanging="15"/>
        <w:jc w:val="left"/>
      </w:pPr>
      <w:r>
        <w:t>What legal liability, if any, does Carter Tax Solutions have to Ethan under the law of negligence, and what factors will a court consider in determining duty of care, breach, causation, and the appropriate remedies?</w:t>
      </w:r>
      <w:r>
        <w:t xml:space="preserve"> </w:t>
      </w:r>
    </w:p>
    <w:p w14:paraId="4B469151" w14:textId="77777777" w:rsidR="007F3CFD" w:rsidRDefault="007F3CFD">
      <w:pPr>
        <w:spacing w:after="8" w:line="366" w:lineRule="auto"/>
        <w:ind w:left="300" w:right="0" w:hanging="15"/>
        <w:jc w:val="left"/>
      </w:pPr>
    </w:p>
    <w:p w14:paraId="1A23AEF8" w14:textId="6D41B2F4" w:rsidR="007F3CFD" w:rsidRDefault="007F3CFD" w:rsidP="007F3CFD">
      <w:pPr>
        <w:spacing w:after="8" w:line="366" w:lineRule="auto"/>
        <w:ind w:left="300" w:right="0" w:hanging="15"/>
        <w:jc w:val="left"/>
      </w:pPr>
      <w:r>
        <w:t>Issue</w:t>
      </w:r>
    </w:p>
    <w:p w14:paraId="65FC3031" w14:textId="77777777" w:rsidR="007F3CFD" w:rsidRDefault="007F3CFD" w:rsidP="007F3CFD">
      <w:pPr>
        <w:spacing w:after="8" w:line="366" w:lineRule="auto"/>
        <w:ind w:left="300" w:right="0" w:hanging="15"/>
        <w:jc w:val="left"/>
      </w:pPr>
      <w:r>
        <w:t>The legal issue is whether Carter Tax Solutions owed Ethan Walker a duty of care in providing professional tax advice, whether the firm breached that duty by giving incorrect advice, whether the breach caused Ethan</w:t>
      </w:r>
      <w:r>
        <w:rPr>
          <w:rFonts w:hint="eastAsia"/>
        </w:rPr>
        <w:t>’</w:t>
      </w:r>
      <w:r>
        <w:t>s financial loss, and what remedies may be available under the law of negligence. Professional advisers owe clients a duty to exercise reasonable care and skill when providing services (Holmes Institute 2026, Week 6, slide 7).</w:t>
      </w:r>
    </w:p>
    <w:p w14:paraId="16D1A850" w14:textId="77777777" w:rsidR="007F3CFD" w:rsidRDefault="007F3CFD" w:rsidP="007F3CFD">
      <w:pPr>
        <w:spacing w:after="8" w:line="366" w:lineRule="auto"/>
        <w:ind w:left="300" w:right="0" w:hanging="15"/>
        <w:jc w:val="left"/>
      </w:pPr>
    </w:p>
    <w:p w14:paraId="28995AE9" w14:textId="0C7B3560" w:rsidR="007F3CFD" w:rsidRDefault="007F3CFD" w:rsidP="007F3CFD">
      <w:pPr>
        <w:spacing w:after="8" w:line="366" w:lineRule="auto"/>
        <w:ind w:left="300" w:right="0" w:hanging="15"/>
        <w:jc w:val="left"/>
      </w:pPr>
      <w:r>
        <w:t>Rule</w:t>
      </w:r>
    </w:p>
    <w:p w14:paraId="4DED216E" w14:textId="6DBB6B94" w:rsidR="007F3CFD" w:rsidRDefault="007F3CFD" w:rsidP="007F3CFD">
      <w:pPr>
        <w:spacing w:after="8" w:line="366" w:lineRule="auto"/>
        <w:ind w:left="300" w:right="0" w:hanging="15"/>
        <w:jc w:val="left"/>
      </w:pPr>
      <w:r>
        <w:t>Negligence arises where a person owes another a duty of care, breaches that duty, and causes reasonably foreseeable damage. A duty of care exists where harm is reasonably foreseeable and there is sufficient proximity between the parties (Donoghue v Stevenson [1932] AC 562). The law of negligence protects individuals from reasonably foreseeable harm caused by another party</w:t>
      </w:r>
      <w:r>
        <w:rPr>
          <w:rFonts w:hint="eastAsia"/>
        </w:rPr>
        <w:t>’</w:t>
      </w:r>
      <w:r>
        <w:t>s failure to exercise reasonable care (Holmes Institute 2026, Week 6, slide 12).</w:t>
      </w:r>
    </w:p>
    <w:p w14:paraId="2E0BDF02" w14:textId="4A1B0673" w:rsidR="007F3CFD" w:rsidRDefault="007F3CFD" w:rsidP="007F3CFD">
      <w:pPr>
        <w:spacing w:after="8" w:line="366" w:lineRule="auto"/>
        <w:ind w:left="300" w:right="0" w:hanging="15"/>
        <w:jc w:val="left"/>
      </w:pPr>
      <w:r>
        <w:t>Professionals such as accountants and tax advisers owe clients a duty to exercise reasonable skill, care, and competence when providing professional advice. In cases involving negligent professional advice causing economic loss, courts apply the principles established in Hedley Byrne &amp; Co Ltd v Heller &amp; Partners Ltd [1964] AC 465. A professional who gives advice in circumstances where reliance is foreseeable may be liable for pure economic loss if inaccurate advice causes financial damage.</w:t>
      </w:r>
    </w:p>
    <w:p w14:paraId="2E93B093" w14:textId="09D34305" w:rsidR="007F3CFD" w:rsidRDefault="007F3CFD" w:rsidP="007F3CFD">
      <w:pPr>
        <w:spacing w:after="8" w:line="366" w:lineRule="auto"/>
        <w:ind w:left="300" w:right="0" w:hanging="15"/>
        <w:jc w:val="left"/>
      </w:pPr>
      <w:r>
        <w:t xml:space="preserve">A breach occurs where the defendant fails to meet the standard of care expected of a reasonable professional in that field. Courts consider professional expertise, industry standards, and whether a competent accountant would have interpreted the legislation correctly. The </w:t>
      </w:r>
      <w:r>
        <w:rPr>
          <w:rFonts w:hint="eastAsia"/>
        </w:rPr>
        <w:t>“</w:t>
      </w:r>
      <w:r>
        <w:t>reasonable person</w:t>
      </w:r>
      <w:r>
        <w:rPr>
          <w:rFonts w:hint="eastAsia"/>
        </w:rPr>
        <w:t>”</w:t>
      </w:r>
      <w:r>
        <w:t xml:space="preserve"> standard is used to assess whether proper care was exercised (Holmes Institute 2026, Week 6, slide 14).</w:t>
      </w:r>
    </w:p>
    <w:p w14:paraId="72E9B810" w14:textId="77777777" w:rsidR="007F3CFD" w:rsidRDefault="007F3CFD" w:rsidP="007F3CFD">
      <w:pPr>
        <w:spacing w:after="8" w:line="366" w:lineRule="auto"/>
        <w:ind w:left="300" w:right="0" w:hanging="15"/>
        <w:jc w:val="left"/>
      </w:pPr>
      <w:r>
        <w:t xml:space="preserve">Causation requires proof that the plaintiff relied on the advice and suffered loss as a direct consequence. Courts apply the </w:t>
      </w:r>
      <w:r>
        <w:rPr>
          <w:rFonts w:hint="eastAsia"/>
        </w:rPr>
        <w:t>“</w:t>
      </w:r>
      <w:r>
        <w:t>but for</w:t>
      </w:r>
      <w:r>
        <w:rPr>
          <w:rFonts w:hint="eastAsia"/>
        </w:rPr>
        <w:t>”</w:t>
      </w:r>
      <w:r>
        <w:t xml:space="preserve"> test to determine whether the damage would have occurred but for the defendant</w:t>
      </w:r>
      <w:r>
        <w:rPr>
          <w:rFonts w:hint="eastAsia"/>
        </w:rPr>
        <w:t>’</w:t>
      </w:r>
      <w:r>
        <w:t>s negligence. Remedies in negligence primarily involve compensatory damages intended to restore the plaintiff to the position they would have been in had the negligence not occurred (Holmes Institute 2026, Week 6, slides 18</w:t>
      </w:r>
      <w:r>
        <w:rPr>
          <w:rFonts w:hint="eastAsia"/>
        </w:rPr>
        <w:t>–</w:t>
      </w:r>
      <w:r>
        <w:t>20).</w:t>
      </w:r>
    </w:p>
    <w:p w14:paraId="0B4734A7" w14:textId="77777777" w:rsidR="007F3CFD" w:rsidRDefault="007F3CFD" w:rsidP="007F3CFD">
      <w:pPr>
        <w:spacing w:after="8" w:line="366" w:lineRule="auto"/>
        <w:ind w:left="300" w:right="0" w:hanging="15"/>
        <w:jc w:val="left"/>
      </w:pPr>
    </w:p>
    <w:p w14:paraId="4A277DAE" w14:textId="08BED71C" w:rsidR="007F3CFD" w:rsidRDefault="007F3CFD" w:rsidP="007F3CFD">
      <w:pPr>
        <w:spacing w:after="8" w:line="366" w:lineRule="auto"/>
        <w:ind w:left="300" w:right="0" w:hanging="15"/>
        <w:jc w:val="left"/>
      </w:pPr>
      <w:r>
        <w:t>Application</w:t>
      </w:r>
    </w:p>
    <w:p w14:paraId="656862D6" w14:textId="1C4EFACE" w:rsidR="007F3CFD" w:rsidRDefault="007F3CFD" w:rsidP="007F3CFD">
      <w:pPr>
        <w:spacing w:after="8" w:line="366" w:lineRule="auto"/>
        <w:ind w:left="300" w:right="0" w:hanging="15"/>
        <w:jc w:val="left"/>
      </w:pPr>
      <w:r>
        <w:t>Carter Tax Solutions is a professional accounting partnership specialising in Australian income tax advisory services. Ethan approached the firm specifically seeking lawful tax minimisation advice. The firm reviewed his financial affairs and provided detailed recommendations in exchange for payment. This establishes a clear professional relationship and sufficient proximity between the parties. It was reasonably foreseeable that Ethan would rely on the advice when managing his taxation obligations. Accordingly, Carter Tax Solutions owed Ethan a duty of care to provide competent and accurate tax advice (Hedley Byrne &amp; Co Ltd v Heller &amp; Partners Ltd [1964] AC 465).</w:t>
      </w:r>
    </w:p>
    <w:p w14:paraId="771D8353" w14:textId="1CF87C11" w:rsidR="007F3CFD" w:rsidRDefault="007F3CFD" w:rsidP="007F3CFD">
      <w:pPr>
        <w:spacing w:after="8" w:line="366" w:lineRule="auto"/>
        <w:ind w:left="300" w:right="0" w:hanging="15"/>
        <w:jc w:val="left"/>
      </w:pPr>
      <w:r>
        <w:t>The firm may have breached that duty because the Australian Taxation Office later determined the advice was based on an incorrect interpretation of tax legislation. A court would assess whether a reasonably competent tax adviser exercising appropriate professional skill and diligence would have made the same mistake. Since Carter Tax Solutions represented itself as a specialist tax advisory firm, a higher professional standard would be expected. If the incorrect advice resulted from inadequate research, poor interpretation of legislation, or failure to exercise reasonable care, breach is likely established. Professional negligence principles require advisers to act competently and carefully when advising clients (Holmes Institute 2026, Week 6, slide 14).</w:t>
      </w:r>
    </w:p>
    <w:p w14:paraId="4833F049" w14:textId="03BC59BE" w:rsidR="007F3CFD" w:rsidRDefault="007F3CFD" w:rsidP="007F3CFD">
      <w:pPr>
        <w:spacing w:after="8" w:line="366" w:lineRule="auto"/>
        <w:ind w:left="300" w:right="0" w:hanging="15"/>
        <w:jc w:val="left"/>
      </w:pPr>
      <w:r>
        <w:t>Causation is also likely satisfied because Ethan relied entirely on the firm</w:t>
      </w:r>
      <w:r>
        <w:rPr>
          <w:rFonts w:hint="eastAsia"/>
        </w:rPr>
        <w:t>’</w:t>
      </w:r>
      <w:r>
        <w:t xml:space="preserve">s advice in implementing the tax minimisation strategy. Ethan stated that he would not have acted differently had correct advice been given. Applying the </w:t>
      </w:r>
      <w:r>
        <w:rPr>
          <w:rFonts w:hint="eastAsia"/>
        </w:rPr>
        <w:t>“</w:t>
      </w:r>
      <w:r>
        <w:t>but for</w:t>
      </w:r>
      <w:r>
        <w:rPr>
          <w:rFonts w:hint="eastAsia"/>
        </w:rPr>
        <w:t>”</w:t>
      </w:r>
      <w:r>
        <w:t xml:space="preserve"> test, but for the negligent advice, Ethan would not have incurred the liability for unpaid tax, interest, and penalties. The financial loss of $950,000 was reasonably foreseeable because inaccurate tax advice commonly exposes clients to reassessment, penalties, and financial sanctions by the Australian Taxation Office.</w:t>
      </w:r>
    </w:p>
    <w:p w14:paraId="0B960514" w14:textId="77777777" w:rsidR="007F3CFD" w:rsidRDefault="007F3CFD" w:rsidP="007F3CFD">
      <w:pPr>
        <w:spacing w:after="8" w:line="366" w:lineRule="auto"/>
        <w:ind w:left="300" w:right="0" w:hanging="15"/>
        <w:jc w:val="left"/>
      </w:pPr>
      <w:r>
        <w:t>However, the court may also examine whether Ethan contributed to his loss. If Ethan knowingly participated in unusually aggressive tax arrangements or failed to seek clarification regarding suspicious advice, contributory negligence may reduce the damages recoverable. Additionally, the court may distinguish between unpaid tax that Ethan legally owed regardless of the advice and additional penalties or interest directly resulting from the negligent advice. Generally, damages focus on losses caused by the negligence itself rather than lawful taxation obligations.</w:t>
      </w:r>
    </w:p>
    <w:p w14:paraId="154D7A9A" w14:textId="77777777" w:rsidR="007F3CFD" w:rsidRDefault="007F3CFD" w:rsidP="007F3CFD">
      <w:pPr>
        <w:spacing w:after="8" w:line="366" w:lineRule="auto"/>
        <w:ind w:left="300" w:right="0" w:hanging="15"/>
        <w:jc w:val="left"/>
      </w:pPr>
    </w:p>
    <w:p w14:paraId="3D27CC65" w14:textId="6BCB7F06" w:rsidR="007F3CFD" w:rsidRDefault="007F3CFD" w:rsidP="007F3CFD">
      <w:pPr>
        <w:spacing w:after="8" w:line="366" w:lineRule="auto"/>
        <w:ind w:left="300" w:right="0" w:hanging="15"/>
        <w:jc w:val="left"/>
      </w:pPr>
      <w:r>
        <w:t>Conclusion</w:t>
      </w:r>
    </w:p>
    <w:p w14:paraId="6A092EFE" w14:textId="3AD90593" w:rsidR="00F0011C" w:rsidRDefault="007F3CFD">
      <w:pPr>
        <w:spacing w:after="8" w:line="366" w:lineRule="auto"/>
        <w:ind w:left="300" w:right="0" w:hanging="15"/>
        <w:jc w:val="left"/>
      </w:pPr>
      <w:r>
        <w:t>Carter Tax Solutions is likely liable to Ethan Walker for professional negligence. The firm owed Ethan a duty of care as professional tax advisers, breached that duty by providing incorrect tax advice, and caused foreseeable economic loss when Ethan relied on the advice and incurred substantial penalties and liabilities. Ethan will likely be entitled to compensatory damages for losses directly resulting from the negligence, including penalties, interest, and potentially professional costs associated with the Australian Taxation Office audit.</w:t>
      </w:r>
    </w:p>
    <w:p w14:paraId="44D626FD" w14:textId="77777777" w:rsidR="00534A5D" w:rsidRDefault="007F1828">
      <w:pPr>
        <w:spacing w:after="109" w:line="259" w:lineRule="auto"/>
        <w:ind w:left="285" w:right="0" w:firstLine="0"/>
        <w:jc w:val="left"/>
      </w:pPr>
      <w:r>
        <w:t xml:space="preserve"> </w:t>
      </w:r>
    </w:p>
    <w:p w14:paraId="66A29053" w14:textId="77777777" w:rsidR="00534A5D" w:rsidRDefault="007F1828">
      <w:pPr>
        <w:pStyle w:val="Heading2"/>
        <w:spacing w:after="126"/>
        <w:ind w:left="280"/>
      </w:pPr>
      <w:r>
        <w:t xml:space="preserve">Part C: Corporation Law Question </w:t>
      </w:r>
      <w:r>
        <w:rPr>
          <w:i w:val="0"/>
        </w:rPr>
        <w:t xml:space="preserve">(10 marks) </w:t>
      </w:r>
    </w:p>
    <w:p w14:paraId="0587A6E2" w14:textId="77777777" w:rsidR="00534A5D" w:rsidRDefault="007F1828">
      <w:pPr>
        <w:spacing w:after="124" w:line="259" w:lineRule="auto"/>
        <w:ind w:left="285" w:right="0" w:firstLine="0"/>
        <w:jc w:val="left"/>
      </w:pPr>
      <w:r>
        <w:t xml:space="preserve"> </w:t>
      </w:r>
    </w:p>
    <w:p w14:paraId="4019E0B4" w14:textId="77777777" w:rsidR="00534A5D" w:rsidRDefault="007F1828">
      <w:pPr>
        <w:ind w:left="295" w:right="0"/>
      </w:pPr>
      <w:r>
        <w:t>Arjun, Meera, and Tashi plan to establish a premium dessert business specialising in luxury event catering. Arjun and Meera each intend to invest $15,000 but prefer not to be involved in daily operations, although they still want a say in major business decisions. Tashi has extensive culinary experience but lacks capital and will manage the day-to-day operations.</w:t>
      </w:r>
      <w:r>
        <w:t xml:space="preserve"> </w:t>
      </w:r>
    </w:p>
    <w:p w14:paraId="3BCE2080" w14:textId="77777777" w:rsidR="00534A5D" w:rsidRDefault="007F1828">
      <w:pPr>
        <w:spacing w:after="124" w:line="259" w:lineRule="auto"/>
        <w:ind w:left="285" w:right="0" w:firstLine="0"/>
        <w:jc w:val="left"/>
      </w:pPr>
      <w:r>
        <w:t xml:space="preserve"> </w:t>
      </w:r>
    </w:p>
    <w:p w14:paraId="6DC1906F" w14:textId="77777777" w:rsidR="00534A5D" w:rsidRDefault="007F1828">
      <w:pPr>
        <w:ind w:left="295" w:right="0"/>
      </w:pPr>
      <w:r>
        <w:t>Meanwhile, Tashi’s cousin, Rohan, offers to invest $60,000 in the venture. He expects a regular financial return on his investment but does not wish to participate in management. However, he wants some level of control over how his funds are utilised.</w:t>
      </w:r>
      <w:r>
        <w:t xml:space="preserve"> </w:t>
      </w:r>
    </w:p>
    <w:p w14:paraId="35CEEC89" w14:textId="77777777" w:rsidR="00534A5D" w:rsidRDefault="007F1828">
      <w:pPr>
        <w:spacing w:after="124" w:line="259" w:lineRule="auto"/>
        <w:ind w:left="285" w:right="0" w:firstLine="0"/>
        <w:jc w:val="left"/>
      </w:pPr>
      <w:r>
        <w:t xml:space="preserve"> </w:t>
      </w:r>
    </w:p>
    <w:p w14:paraId="5E550122" w14:textId="77777777" w:rsidR="00534A5D" w:rsidRDefault="007F1828">
      <w:pPr>
        <w:ind w:left="295" w:right="0"/>
      </w:pPr>
      <w:r>
        <w:t>The group seeks advice on the most suitable legal structure for their business and the legal implications of their chosen structure, particularly in relation to control, liability, and profit distribution.</w:t>
      </w:r>
      <w:r>
        <w:t xml:space="preserve"> </w:t>
      </w:r>
    </w:p>
    <w:p w14:paraId="7E196C7C" w14:textId="77777777" w:rsidR="00534A5D" w:rsidRDefault="007F1828">
      <w:pPr>
        <w:spacing w:after="124" w:line="259" w:lineRule="auto"/>
        <w:ind w:left="285" w:right="0" w:firstLine="0"/>
        <w:jc w:val="left"/>
      </w:pPr>
      <w:r>
        <w:t xml:space="preserve"> </w:t>
      </w:r>
    </w:p>
    <w:p w14:paraId="3063C9E8" w14:textId="77777777" w:rsidR="00534A5D" w:rsidRDefault="007F1828">
      <w:pPr>
        <w:ind w:left="295" w:right="0"/>
      </w:pPr>
      <w:r>
        <w:t xml:space="preserve">What is the most appropriate business structure for this venture, and why is this structure preferable compared to other alternatives considering </w:t>
      </w:r>
      <w:r>
        <w:t>the parties’ intentions regarding management, liability, and financial interests?</w:t>
      </w:r>
      <w:r>
        <w:t xml:space="preserve"> </w:t>
      </w:r>
    </w:p>
    <w:p w14:paraId="1EA5140F" w14:textId="77777777" w:rsidR="007F3CFD" w:rsidRDefault="007F3CFD">
      <w:pPr>
        <w:ind w:left="295" w:right="0"/>
      </w:pPr>
    </w:p>
    <w:p w14:paraId="61A863F1" w14:textId="5D7589DC" w:rsidR="000A5B0E" w:rsidRDefault="000A5B0E" w:rsidP="000A5B0E">
      <w:pPr>
        <w:ind w:left="295" w:right="0"/>
      </w:pPr>
      <w:r>
        <w:t>Issue</w:t>
      </w:r>
    </w:p>
    <w:p w14:paraId="140F022D" w14:textId="77777777" w:rsidR="000A5B0E" w:rsidRDefault="000A5B0E" w:rsidP="000A5B0E">
      <w:pPr>
        <w:ind w:left="295" w:right="0"/>
      </w:pPr>
      <w:r>
        <w:t>The legal issue is determining the most appropriate business structure for the premium dessert catering venture considering the parties</w:t>
      </w:r>
      <w:r>
        <w:rPr>
          <w:rFonts w:hint="eastAsia"/>
        </w:rPr>
        <w:t>’</w:t>
      </w:r>
      <w:r>
        <w:t xml:space="preserve"> intentions regarding management participation, financial investment, liability exposure, and profit distribution. The structure must accommodate passive investors, active management by Tashi, and protection from personal liability.</w:t>
      </w:r>
    </w:p>
    <w:p w14:paraId="1ED321DC" w14:textId="77777777" w:rsidR="000A5B0E" w:rsidRDefault="000A5B0E" w:rsidP="000A5B0E">
      <w:pPr>
        <w:ind w:left="295" w:right="0"/>
      </w:pPr>
    </w:p>
    <w:p w14:paraId="77D4B915" w14:textId="0136AB85" w:rsidR="000A5B0E" w:rsidRDefault="000A5B0E" w:rsidP="000A5B0E">
      <w:pPr>
        <w:ind w:left="295" w:right="0"/>
      </w:pPr>
      <w:r>
        <w:t>Rule</w:t>
      </w:r>
    </w:p>
    <w:p w14:paraId="7BAD16F4" w14:textId="295EC4B1" w:rsidR="000A5B0E" w:rsidRDefault="000A5B0E" w:rsidP="000A5B0E">
      <w:pPr>
        <w:ind w:left="295" w:right="0"/>
      </w:pPr>
      <w:r>
        <w:t>Australian businesses may operate through several legal structures including sole traders, partnerships, trusts, and companies. Each structure differs regarding control, liability, ownership, and taxation. A company incorporated under the Corporations Act 2001 (Cth) is a separate legal entity distinct from its members (Salomon v Salomon &amp; Co Ltd [1897] AC 22). Companies provide limited liability protection, perpetual succession, and flexibility in ownership and management arrangements (Holmes Institute 2026, Week 7, slide 12).</w:t>
      </w:r>
    </w:p>
    <w:p w14:paraId="272B5533" w14:textId="33AC76B2" w:rsidR="000A5B0E" w:rsidRDefault="000A5B0E" w:rsidP="000A5B0E">
      <w:pPr>
        <w:ind w:left="295" w:right="0"/>
      </w:pPr>
      <w:r>
        <w:t>Under the Corporations Act 2001 (Cth), shareholders own the company while directors manage its operations. Members</w:t>
      </w:r>
      <w:r>
        <w:rPr>
          <w:rFonts w:hint="eastAsia"/>
        </w:rPr>
        <w:t>’</w:t>
      </w:r>
      <w:r>
        <w:t xml:space="preserve"> liability is generally limited to any unpaid amount on shares held (Holmes Institute 2026, Week 10, slide 10). A proprietary company (Pty Ltd) is commonly used by small businesses because it allows private ownership while limiting shareholder liability (Holmes Institute 2026, Week 10, slides 10</w:t>
      </w:r>
      <w:r>
        <w:rPr>
          <w:rFonts w:hint="eastAsia"/>
        </w:rPr>
        <w:t>–</w:t>
      </w:r>
      <w:r>
        <w:t>12).</w:t>
      </w:r>
    </w:p>
    <w:p w14:paraId="44705C25" w14:textId="77777777" w:rsidR="000A5B0E" w:rsidRDefault="000A5B0E" w:rsidP="000A5B0E">
      <w:pPr>
        <w:ind w:left="295" w:right="0"/>
      </w:pPr>
      <w:r>
        <w:t>Partnerships involve shared management and unlimited personal liability for business debts. Partners are jointly and severally liable for obligations incurred by the partnership. Sole trader structures provide complete control but expose the owner to unlimited liability. Trust structures may provide asset protection but are more complex and less suitable where multiple parties wish to exercise ownership and management rights directly.</w:t>
      </w:r>
    </w:p>
    <w:p w14:paraId="258BD062" w14:textId="77777777" w:rsidR="000A5B0E" w:rsidRDefault="000A5B0E" w:rsidP="000A5B0E">
      <w:pPr>
        <w:ind w:left="295" w:right="0"/>
      </w:pPr>
    </w:p>
    <w:p w14:paraId="6B890FB7" w14:textId="7A525913" w:rsidR="000A5B0E" w:rsidRDefault="000A5B0E" w:rsidP="000A5B0E">
      <w:pPr>
        <w:ind w:left="295" w:right="0"/>
      </w:pPr>
      <w:r>
        <w:t>Application</w:t>
      </w:r>
    </w:p>
    <w:p w14:paraId="4626E9FF" w14:textId="44301E42" w:rsidR="000A5B0E" w:rsidRDefault="000A5B0E" w:rsidP="000A5B0E">
      <w:pPr>
        <w:ind w:left="295" w:right="0"/>
      </w:pPr>
      <w:r>
        <w:t>The most appropriate structure for this venture is likely a proprietary limited company (Pty Ltd). This structure best accommodates the differing intentions of Arjun, Meera, Tashi, and Rohan.</w:t>
      </w:r>
    </w:p>
    <w:p w14:paraId="3786B085" w14:textId="05059EE0" w:rsidR="000A5B0E" w:rsidRDefault="000A5B0E" w:rsidP="000A5B0E">
      <w:pPr>
        <w:ind w:left="295" w:right="0"/>
      </w:pPr>
      <w:r>
        <w:t>Arjun and Meera wish to invest capital and retain influence over major business decisions without being involved in daily operations. As shareholders, they can hold ownership interests and voting rights while appointing directors to manage the business. Their liability would generally be limited to their investment contribution, protecting their personal assets from company debts (Holmes Institute 2026, Week 7, slide 12).</w:t>
      </w:r>
    </w:p>
    <w:p w14:paraId="28427769" w14:textId="2202B07E" w:rsidR="000A5B0E" w:rsidRDefault="000A5B0E" w:rsidP="000A5B0E">
      <w:pPr>
        <w:ind w:left="295" w:right="0"/>
      </w:pPr>
      <w:r>
        <w:t>Tashi intends to manage the daily operations and contribute culinary expertise rather than significant capital. Under a company structure, Tashi could be appointed as a director and manager of the business while also holding shares to reflect her operational contribution. This allows separation between ownership and management, which is a major advantage of incorporation (Holmes Institute 2026, Week 9, slide 3).</w:t>
      </w:r>
    </w:p>
    <w:p w14:paraId="251FBA60" w14:textId="4C638C1A" w:rsidR="000A5B0E" w:rsidRDefault="000A5B0E" w:rsidP="000A5B0E">
      <w:pPr>
        <w:ind w:left="295" w:right="0"/>
      </w:pPr>
      <w:r>
        <w:t>Rohan wishes to invest substantial funds and receive financial returns without active involvement in management. A company structure suits passive investors because shareholders may receive dividends without participating in day-to-day business activities. Rohan may negotiate shareholder rights or conditions in a shareholders</w:t>
      </w:r>
      <w:r>
        <w:rPr>
          <w:rFonts w:hint="eastAsia"/>
        </w:rPr>
        <w:t>’</w:t>
      </w:r>
      <w:r>
        <w:t xml:space="preserve"> agreement to monitor how funds are used without becoming directly involved in management. This arrangement balances his desire for oversight with limited operational responsibility.</w:t>
      </w:r>
    </w:p>
    <w:p w14:paraId="523C6D2F" w14:textId="4DF85F0E" w:rsidR="000A5B0E" w:rsidRDefault="000A5B0E" w:rsidP="000A5B0E">
      <w:pPr>
        <w:ind w:left="295" w:right="0"/>
      </w:pPr>
      <w:r>
        <w:t>A partnership would be less appropriate because all partners generally share unlimited liability and management authority. This conflicts with Arjun</w:t>
      </w:r>
      <w:r>
        <w:rPr>
          <w:rFonts w:hint="eastAsia"/>
        </w:rPr>
        <w:t>’</w:t>
      </w:r>
      <w:r>
        <w:t>s, Meera</w:t>
      </w:r>
      <w:r>
        <w:rPr>
          <w:rFonts w:hint="eastAsia"/>
        </w:rPr>
        <w:t>’</w:t>
      </w:r>
      <w:r>
        <w:t>s, and Rohan</w:t>
      </w:r>
      <w:r>
        <w:rPr>
          <w:rFonts w:hint="eastAsia"/>
        </w:rPr>
        <w:t>’</w:t>
      </w:r>
      <w:r>
        <w:t>s preference for limited involvement in operations. Additionally, partnership law may expose passive investors to liability for business debts and actions of other partners. A sole trader structure would also be unsuitable because only one person could own the business and would bear unlimited liability personally.</w:t>
      </w:r>
    </w:p>
    <w:p w14:paraId="73358BC6" w14:textId="77777777" w:rsidR="000A5B0E" w:rsidRDefault="000A5B0E" w:rsidP="000A5B0E">
      <w:pPr>
        <w:ind w:left="295" w:right="0"/>
      </w:pPr>
      <w:r>
        <w:t>A company structure also provides advantages regarding continuity and future expansion. Since the company is a separate legal entity, it continues to exist regardless of changes in ownership or management (Salomon v Salomon &amp; Co Ltd [1897] AC 22). This stability is beneficial for a growing luxury catering business that may later seek additional investors or commercial contracts.</w:t>
      </w:r>
    </w:p>
    <w:p w14:paraId="684013C1" w14:textId="77777777" w:rsidR="000A5B0E" w:rsidRDefault="000A5B0E" w:rsidP="000A5B0E">
      <w:pPr>
        <w:ind w:left="295" w:right="0"/>
      </w:pPr>
    </w:p>
    <w:p w14:paraId="029E568F" w14:textId="75EE31C6" w:rsidR="000A5B0E" w:rsidRDefault="000A5B0E" w:rsidP="000A5B0E">
      <w:pPr>
        <w:ind w:left="295" w:right="0"/>
      </w:pPr>
      <w:r>
        <w:t>Conclusion</w:t>
      </w:r>
    </w:p>
    <w:p w14:paraId="22980889" w14:textId="485B6994" w:rsidR="000A5B0E" w:rsidRDefault="000A5B0E" w:rsidP="000A5B0E">
      <w:pPr>
        <w:ind w:left="295" w:right="0"/>
      </w:pPr>
      <w:r>
        <w:t>The most appropriate business structure for the venture is a proprietary limited company (Pty Ltd). This structure is preferable because it provides limited liability protection, separates ownership from management, accommodates both active and passive investors, and allows flexible profit distribution through share ownership.</w:t>
      </w:r>
    </w:p>
    <w:p w14:paraId="06210EC9" w14:textId="3D8C3F0B" w:rsidR="007F3CFD" w:rsidRDefault="000A5B0E">
      <w:pPr>
        <w:ind w:left="295" w:right="0"/>
      </w:pPr>
      <w:r>
        <w:t>Arjun and Meera can remain passive investors while retaining voting rights, Tashi can manage daily operations as a director, and Rohan can invest capital and receive financial returns without assuming operational liability. Compared to partnerships or sole trader arrangements, a company structure better satisfies the parties</w:t>
      </w:r>
      <w:r>
        <w:rPr>
          <w:rFonts w:hint="eastAsia"/>
        </w:rPr>
        <w:t>’</w:t>
      </w:r>
      <w:r>
        <w:t xml:space="preserve"> intentions regarding control, financial interests, and protection from personal liability.</w:t>
      </w:r>
    </w:p>
    <w:p w14:paraId="7F45A2AB" w14:textId="77777777" w:rsidR="00534A5D" w:rsidRDefault="007F1828">
      <w:pPr>
        <w:spacing w:after="109" w:line="259" w:lineRule="auto"/>
        <w:ind w:left="285" w:right="0" w:firstLine="0"/>
        <w:jc w:val="left"/>
      </w:pPr>
      <w:r>
        <w:t xml:space="preserve"> </w:t>
      </w:r>
    </w:p>
    <w:p w14:paraId="21BFC113" w14:textId="77777777" w:rsidR="00073D8E" w:rsidRDefault="00073D8E" w:rsidP="00073D8E">
      <w:pPr>
        <w:spacing w:after="109" w:line="259" w:lineRule="auto"/>
        <w:ind w:left="285" w:right="0" w:firstLine="0"/>
        <w:jc w:val="left"/>
      </w:pPr>
      <w:r>
        <w:t>References</w:t>
      </w:r>
    </w:p>
    <w:p w14:paraId="4F541AD7" w14:textId="77777777" w:rsidR="00AB335B" w:rsidRDefault="00AB335B" w:rsidP="00073D8E">
      <w:pPr>
        <w:spacing w:after="109" w:line="259" w:lineRule="auto"/>
        <w:ind w:left="285" w:right="0" w:firstLine="0"/>
        <w:jc w:val="left"/>
      </w:pPr>
    </w:p>
    <w:p w14:paraId="545EAD80" w14:textId="77777777" w:rsidR="00073D8E" w:rsidRDefault="00073D8E" w:rsidP="00073D8E">
      <w:pPr>
        <w:spacing w:after="109" w:line="259" w:lineRule="auto"/>
        <w:ind w:left="285" w:right="0" w:firstLine="0"/>
        <w:jc w:val="left"/>
      </w:pPr>
      <w:r>
        <w:t>Cases</w:t>
      </w:r>
    </w:p>
    <w:p w14:paraId="6CB3E705" w14:textId="77777777" w:rsidR="00073D8E" w:rsidRDefault="00073D8E" w:rsidP="00073D8E">
      <w:pPr>
        <w:spacing w:after="109" w:line="259" w:lineRule="auto"/>
        <w:ind w:left="285" w:right="0" w:firstLine="0"/>
        <w:jc w:val="left"/>
      </w:pPr>
      <w:r>
        <w:t>Commercial Bank of Australia Ltd v Amadio (1983) 151 CLR 447.</w:t>
      </w:r>
    </w:p>
    <w:p w14:paraId="78F0E341" w14:textId="77777777" w:rsidR="00073D8E" w:rsidRDefault="00073D8E" w:rsidP="00073D8E">
      <w:pPr>
        <w:spacing w:after="109" w:line="259" w:lineRule="auto"/>
        <w:ind w:left="285" w:right="0" w:firstLine="0"/>
        <w:jc w:val="left"/>
      </w:pPr>
      <w:r>
        <w:t>Donoghue v Stevenson [1932] AC 562.</w:t>
      </w:r>
    </w:p>
    <w:p w14:paraId="7DD1151A" w14:textId="77777777" w:rsidR="00073D8E" w:rsidRDefault="00073D8E" w:rsidP="00073D8E">
      <w:pPr>
        <w:spacing w:after="109" w:line="259" w:lineRule="auto"/>
        <w:ind w:left="285" w:right="0" w:firstLine="0"/>
        <w:jc w:val="left"/>
      </w:pPr>
      <w:r>
        <w:t>Hedley Byrne &amp; Co Ltd v Heller &amp; Partners Ltd [1964] AC 465.</w:t>
      </w:r>
    </w:p>
    <w:p w14:paraId="40CC58AE" w14:textId="77777777" w:rsidR="00073D8E" w:rsidRDefault="00073D8E" w:rsidP="00073D8E">
      <w:pPr>
        <w:spacing w:after="109" w:line="259" w:lineRule="auto"/>
        <w:ind w:left="285" w:right="0" w:firstLine="0"/>
        <w:jc w:val="left"/>
      </w:pPr>
      <w:r>
        <w:t>Salomon v Salomon &amp; Co Ltd [1897] AC 22.</w:t>
      </w:r>
    </w:p>
    <w:p w14:paraId="7A72D217" w14:textId="77777777" w:rsidR="00073D8E" w:rsidRDefault="00073D8E" w:rsidP="00073D8E">
      <w:pPr>
        <w:spacing w:after="109" w:line="259" w:lineRule="auto"/>
        <w:ind w:left="285" w:right="0" w:firstLine="0"/>
        <w:jc w:val="left"/>
      </w:pPr>
    </w:p>
    <w:p w14:paraId="21F2B61E" w14:textId="77777777" w:rsidR="00073D8E" w:rsidRDefault="00073D8E" w:rsidP="00073D8E">
      <w:pPr>
        <w:spacing w:after="109" w:line="259" w:lineRule="auto"/>
        <w:ind w:left="285" w:right="0" w:firstLine="0"/>
        <w:jc w:val="left"/>
      </w:pPr>
      <w:r>
        <w:t>Legislation</w:t>
      </w:r>
    </w:p>
    <w:p w14:paraId="20AC796D" w14:textId="77777777" w:rsidR="00073D8E" w:rsidRDefault="00073D8E" w:rsidP="00073D8E">
      <w:pPr>
        <w:spacing w:after="109" w:line="259" w:lineRule="auto"/>
        <w:ind w:left="285" w:right="0" w:firstLine="0"/>
        <w:jc w:val="left"/>
      </w:pPr>
      <w:r>
        <w:t>Competition and Consumer Act 2010 (Cth).</w:t>
      </w:r>
    </w:p>
    <w:p w14:paraId="0C01BEEB" w14:textId="77777777" w:rsidR="00073D8E" w:rsidRDefault="00073D8E" w:rsidP="00073D8E">
      <w:pPr>
        <w:spacing w:after="109" w:line="259" w:lineRule="auto"/>
        <w:ind w:left="285" w:right="0" w:firstLine="0"/>
        <w:jc w:val="left"/>
      </w:pPr>
      <w:r>
        <w:t>Corporations Act 2001 (Cth).</w:t>
      </w:r>
    </w:p>
    <w:p w14:paraId="3A05E6CF" w14:textId="77777777" w:rsidR="00073D8E" w:rsidRDefault="00073D8E" w:rsidP="00073D8E">
      <w:pPr>
        <w:spacing w:after="109" w:line="259" w:lineRule="auto"/>
        <w:ind w:left="285" w:right="0" w:firstLine="0"/>
        <w:jc w:val="left"/>
      </w:pPr>
    </w:p>
    <w:p w14:paraId="0F7457D6" w14:textId="77777777" w:rsidR="00073D8E" w:rsidRDefault="00073D8E" w:rsidP="00073D8E">
      <w:pPr>
        <w:spacing w:after="109" w:line="259" w:lineRule="auto"/>
        <w:ind w:left="285" w:right="0" w:firstLine="0"/>
        <w:jc w:val="left"/>
      </w:pPr>
      <w:r>
        <w:t>Lecture Slides</w:t>
      </w:r>
    </w:p>
    <w:p w14:paraId="115D7CAC" w14:textId="77777777" w:rsidR="00073D8E" w:rsidRDefault="00073D8E" w:rsidP="00073D8E">
      <w:pPr>
        <w:spacing w:after="109" w:line="259" w:lineRule="auto"/>
        <w:ind w:left="285" w:right="0" w:firstLine="0"/>
        <w:jc w:val="left"/>
      </w:pPr>
      <w:r>
        <w:t xml:space="preserve">Holmes Institute 2026, HA2027 Business and Corporations Law: Week 2 Contract Law </w:t>
      </w:r>
      <w:r>
        <w:rPr>
          <w:rFonts w:hint="eastAsia"/>
        </w:rPr>
        <w:t>–</w:t>
      </w:r>
      <w:r>
        <w:t xml:space="preserve"> Foundations, Week 2 lecture slides, Holmes Institute, Trimester T1.</w:t>
      </w:r>
    </w:p>
    <w:p w14:paraId="58B2446F" w14:textId="77777777" w:rsidR="00073D8E" w:rsidRDefault="00073D8E" w:rsidP="00073D8E">
      <w:pPr>
        <w:spacing w:after="109" w:line="259" w:lineRule="auto"/>
        <w:ind w:left="285" w:right="0" w:firstLine="0"/>
        <w:jc w:val="left"/>
      </w:pPr>
      <w:r>
        <w:t xml:space="preserve">Holmes Institute 2026, HA2027 Business and Corporations Law: Week 3 Contract Law </w:t>
      </w:r>
      <w:r>
        <w:rPr>
          <w:rFonts w:hint="eastAsia"/>
        </w:rPr>
        <w:t>–</w:t>
      </w:r>
      <w:r>
        <w:t xml:space="preserve"> Performance, Breach &amp; Remedies, Week 3 lecture slides, Holmes Institute, Trimester T1.</w:t>
      </w:r>
    </w:p>
    <w:p w14:paraId="550B6283" w14:textId="77777777" w:rsidR="00073D8E" w:rsidRDefault="00073D8E" w:rsidP="00073D8E">
      <w:pPr>
        <w:spacing w:after="109" w:line="259" w:lineRule="auto"/>
        <w:ind w:left="285" w:right="0" w:firstLine="0"/>
        <w:jc w:val="left"/>
      </w:pPr>
      <w:r>
        <w:t>Holmes Institute 2026, HA2027 Business and Corporations Law: Lecture 6 Rights of the Parties and Discharge; Remedies for Breach of Contract; Consumer Protection, Week 6 lecture slides, Holmes Institute, Trimester T1.</w:t>
      </w:r>
    </w:p>
    <w:p w14:paraId="120BBEEE" w14:textId="77777777" w:rsidR="00073D8E" w:rsidRDefault="00073D8E" w:rsidP="00073D8E">
      <w:pPr>
        <w:spacing w:after="109" w:line="259" w:lineRule="auto"/>
        <w:ind w:left="285" w:right="0" w:firstLine="0"/>
        <w:jc w:val="left"/>
      </w:pPr>
      <w:r>
        <w:t>Holmes Institute 2026, HA2027 Business and Corporations Law: Lecture 7 Introduction to Corporations and Law of Agency, Week 7 lecture slides, Holmes Institute, Trimester T1.</w:t>
      </w:r>
    </w:p>
    <w:p w14:paraId="45111D33" w14:textId="77777777" w:rsidR="00073D8E" w:rsidRDefault="00073D8E" w:rsidP="00073D8E">
      <w:pPr>
        <w:spacing w:after="109" w:line="259" w:lineRule="auto"/>
        <w:ind w:left="285" w:right="0" w:firstLine="0"/>
        <w:jc w:val="left"/>
      </w:pPr>
      <w:r>
        <w:t xml:space="preserve">Holmes Institute 2026, HA2027 Business and Corporations Law: Lecture 9 Company Law </w:t>
      </w:r>
      <w:r>
        <w:rPr>
          <w:rFonts w:hint="eastAsia"/>
        </w:rPr>
        <w:t>–</w:t>
      </w:r>
      <w:r>
        <w:t xml:space="preserve"> Governance and Directors</w:t>
      </w:r>
      <w:r>
        <w:rPr>
          <w:rFonts w:hint="eastAsia"/>
        </w:rPr>
        <w:t>’</w:t>
      </w:r>
      <w:r>
        <w:t xml:space="preserve"> Duties, Week 9 lecture slides, Holmes Institute, Trimester T1.</w:t>
      </w:r>
    </w:p>
    <w:p w14:paraId="10F2E631" w14:textId="7D3EA5A0" w:rsidR="00283486" w:rsidRDefault="00073D8E">
      <w:pPr>
        <w:spacing w:after="109" w:line="259" w:lineRule="auto"/>
        <w:ind w:left="285" w:right="0" w:firstLine="0"/>
        <w:jc w:val="left"/>
      </w:pPr>
      <w:r>
        <w:t xml:space="preserve">Holmes Institute 2026, HA2027 Business and Corporations Law: Lecture 10 Company Law </w:t>
      </w:r>
      <w:r>
        <w:rPr>
          <w:rFonts w:hint="eastAsia"/>
        </w:rPr>
        <w:t>–</w:t>
      </w:r>
      <w:r>
        <w:t xml:space="preserve"> Corporate Financing, Membership and Dividends, Week 10 lecture slides, Holmes Institute, Trimester T1.</w:t>
      </w:r>
    </w:p>
    <w:p w14:paraId="2D7E6EB6" w14:textId="77777777" w:rsidR="00534A5D" w:rsidRDefault="007F1828">
      <w:pPr>
        <w:spacing w:after="108" w:line="259" w:lineRule="auto"/>
        <w:ind w:left="285" w:right="0" w:firstLine="0"/>
        <w:jc w:val="left"/>
      </w:pPr>
      <w:r>
        <w:rPr>
          <w:rFonts w:ascii="Calibri" w:eastAsia="Calibri" w:hAnsi="Calibri" w:cs="Calibri"/>
        </w:rPr>
        <w:lastRenderedPageBreak/>
        <w:t xml:space="preserve"> </w:t>
      </w:r>
    </w:p>
    <w:p w14:paraId="666A07DE" w14:textId="77777777" w:rsidR="00534A5D" w:rsidRDefault="007F1828">
      <w:pPr>
        <w:spacing w:after="0" w:line="259" w:lineRule="auto"/>
        <w:ind w:left="285" w:right="0" w:firstLine="0"/>
        <w:jc w:val="left"/>
      </w:pPr>
      <w:r>
        <w:rPr>
          <w:rFonts w:ascii="Calibri" w:eastAsia="Calibri" w:hAnsi="Calibri" w:cs="Calibri"/>
        </w:rPr>
        <w:t xml:space="preserve"> </w:t>
      </w:r>
    </w:p>
    <w:sectPr w:rsidR="00534A5D">
      <w:footerReference w:type="even" r:id="rId8"/>
      <w:footerReference w:type="default" r:id="rId9"/>
      <w:footerReference w:type="first" r:id="rId10"/>
      <w:pgSz w:w="11910" w:h="16845"/>
      <w:pgMar w:top="990" w:right="1384" w:bottom="1708" w:left="1157" w:header="72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D8984" w14:textId="77777777" w:rsidR="007F1828" w:rsidRDefault="007F1828">
      <w:pPr>
        <w:spacing w:after="0" w:line="240" w:lineRule="auto"/>
      </w:pPr>
      <w:r>
        <w:separator/>
      </w:r>
    </w:p>
  </w:endnote>
  <w:endnote w:type="continuationSeparator" w:id="0">
    <w:p w14:paraId="73C07E2B" w14:textId="77777777" w:rsidR="007F1828" w:rsidRDefault="007F1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pitch w:val="default"/>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682A" w14:textId="77777777" w:rsidR="00534A5D" w:rsidRDefault="007F1828">
    <w:pPr>
      <w:spacing w:after="0" w:line="259" w:lineRule="auto"/>
      <w:ind w:left="0" w:right="49" w:firstLine="0"/>
      <w:jc w:val="right"/>
    </w:pPr>
    <w:r>
      <w:rPr>
        <w:rFonts w:ascii="Calibri" w:eastAsia="Calibri" w:hAnsi="Calibri" w:cs="Calibri"/>
        <w:sz w:val="17"/>
      </w:rPr>
      <w:t xml:space="preserve">HB2027 Group Assignment T1 2026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34D82" w14:textId="77777777" w:rsidR="00534A5D" w:rsidRDefault="007F1828">
    <w:pPr>
      <w:spacing w:after="0" w:line="259" w:lineRule="auto"/>
      <w:ind w:left="0" w:right="49" w:firstLine="0"/>
      <w:jc w:val="right"/>
    </w:pPr>
    <w:r>
      <w:rPr>
        <w:rFonts w:ascii="Calibri" w:eastAsia="Calibri" w:hAnsi="Calibri" w:cs="Calibri"/>
        <w:sz w:val="17"/>
      </w:rPr>
      <w:t xml:space="preserve">HB2027 Group Assignment T1 2026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2F14" w14:textId="77777777" w:rsidR="00534A5D" w:rsidRDefault="007F1828">
    <w:pPr>
      <w:spacing w:after="0" w:line="259" w:lineRule="auto"/>
      <w:ind w:left="0" w:right="49" w:firstLine="0"/>
      <w:jc w:val="right"/>
    </w:pPr>
    <w:r>
      <w:rPr>
        <w:rFonts w:ascii="Calibri" w:eastAsia="Calibri" w:hAnsi="Calibri" w:cs="Calibri"/>
        <w:sz w:val="17"/>
      </w:rPr>
      <w:t xml:space="preserve">HB2027 Group Assignment T1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7A559" w14:textId="77777777" w:rsidR="007F1828" w:rsidRDefault="007F1828">
      <w:pPr>
        <w:spacing w:after="0" w:line="240" w:lineRule="auto"/>
      </w:pPr>
      <w:r>
        <w:separator/>
      </w:r>
    </w:p>
  </w:footnote>
  <w:footnote w:type="continuationSeparator" w:id="0">
    <w:p w14:paraId="1F122023" w14:textId="77777777" w:rsidR="007F1828" w:rsidRDefault="007F1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25D5E"/>
    <w:multiLevelType w:val="hybridMultilevel"/>
    <w:tmpl w:val="FFFFFFFF"/>
    <w:lvl w:ilvl="0" w:tplc="75F6FA00">
      <w:start w:val="1"/>
      <w:numFmt w:val="decimal"/>
      <w:lvlText w:val="%1."/>
      <w:lvlJc w:val="left"/>
      <w:pPr>
        <w:ind w:left="10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87604DC">
      <w:start w:val="1"/>
      <w:numFmt w:val="lowerLetter"/>
      <w:lvlText w:val="%2"/>
      <w:lvlJc w:val="left"/>
      <w:pPr>
        <w:ind w:left="14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89470A0">
      <w:start w:val="1"/>
      <w:numFmt w:val="lowerRoman"/>
      <w:lvlText w:val="%3"/>
      <w:lvlJc w:val="left"/>
      <w:pPr>
        <w:ind w:left="21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4BA8878">
      <w:start w:val="1"/>
      <w:numFmt w:val="decimal"/>
      <w:lvlText w:val="%4"/>
      <w:lvlJc w:val="left"/>
      <w:pPr>
        <w:ind w:left="28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2EA33A8">
      <w:start w:val="1"/>
      <w:numFmt w:val="lowerLetter"/>
      <w:lvlText w:val="%5"/>
      <w:lvlJc w:val="left"/>
      <w:pPr>
        <w:ind w:left="36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872CCAA">
      <w:start w:val="1"/>
      <w:numFmt w:val="lowerRoman"/>
      <w:lvlText w:val="%6"/>
      <w:lvlJc w:val="left"/>
      <w:pPr>
        <w:ind w:left="43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3D006EE">
      <w:start w:val="1"/>
      <w:numFmt w:val="decimal"/>
      <w:lvlText w:val="%7"/>
      <w:lvlJc w:val="left"/>
      <w:pPr>
        <w:ind w:left="50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080D348">
      <w:start w:val="1"/>
      <w:numFmt w:val="lowerLetter"/>
      <w:lvlText w:val="%8"/>
      <w:lvlJc w:val="left"/>
      <w:pPr>
        <w:ind w:left="57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D8E2E82">
      <w:start w:val="1"/>
      <w:numFmt w:val="lowerRoman"/>
      <w:lvlText w:val="%9"/>
      <w:lvlJc w:val="left"/>
      <w:pPr>
        <w:ind w:left="64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28CE15BE"/>
    <w:multiLevelType w:val="hybridMultilevel"/>
    <w:tmpl w:val="FFFFFFFF"/>
    <w:lvl w:ilvl="0" w:tplc="91EA3F9A">
      <w:start w:val="1"/>
      <w:numFmt w:val="bullet"/>
      <w:lvlText w:val="•"/>
      <w:lvlJc w:val="left"/>
      <w:pPr>
        <w:ind w:left="3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48A9DA0">
      <w:start w:val="1"/>
      <w:numFmt w:val="bullet"/>
      <w:lvlText w:val="o"/>
      <w:lvlJc w:val="left"/>
      <w:pPr>
        <w:ind w:left="11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9663A40">
      <w:start w:val="1"/>
      <w:numFmt w:val="bullet"/>
      <w:lvlText w:val="▪"/>
      <w:lvlJc w:val="left"/>
      <w:pPr>
        <w:ind w:left="191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02ACBE3E">
      <w:start w:val="1"/>
      <w:numFmt w:val="bullet"/>
      <w:lvlText w:val="•"/>
      <w:lvlJc w:val="left"/>
      <w:pPr>
        <w:ind w:left="263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0A8A794">
      <w:start w:val="1"/>
      <w:numFmt w:val="bullet"/>
      <w:lvlText w:val="o"/>
      <w:lvlJc w:val="left"/>
      <w:pPr>
        <w:ind w:left="335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6A9EC3C4">
      <w:start w:val="1"/>
      <w:numFmt w:val="bullet"/>
      <w:lvlText w:val="▪"/>
      <w:lvlJc w:val="left"/>
      <w:pPr>
        <w:ind w:left="407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EF70528C">
      <w:start w:val="1"/>
      <w:numFmt w:val="bullet"/>
      <w:lvlText w:val="•"/>
      <w:lvlJc w:val="left"/>
      <w:pPr>
        <w:ind w:left="479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EDA93EC">
      <w:start w:val="1"/>
      <w:numFmt w:val="bullet"/>
      <w:lvlText w:val="o"/>
      <w:lvlJc w:val="left"/>
      <w:pPr>
        <w:ind w:left="551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6AD01070">
      <w:start w:val="1"/>
      <w:numFmt w:val="bullet"/>
      <w:lvlText w:val="▪"/>
      <w:lvlJc w:val="left"/>
      <w:pPr>
        <w:ind w:left="623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3B641BC2"/>
    <w:multiLevelType w:val="hybridMultilevel"/>
    <w:tmpl w:val="FFFFFFFF"/>
    <w:lvl w:ilvl="0" w:tplc="342841C0">
      <w:start w:val="1"/>
      <w:numFmt w:val="bullet"/>
      <w:lvlText w:val="•"/>
      <w:lvlJc w:val="left"/>
      <w:pPr>
        <w:ind w:left="57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E941384">
      <w:start w:val="1"/>
      <w:numFmt w:val="bullet"/>
      <w:lvlText w:val="o"/>
      <w:lvlJc w:val="left"/>
      <w:pPr>
        <w:ind w:left="129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0276CD3E">
      <w:start w:val="1"/>
      <w:numFmt w:val="bullet"/>
      <w:lvlText w:val="▪"/>
      <w:lvlJc w:val="left"/>
      <w:pPr>
        <w:ind w:left="201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3CE59C6">
      <w:start w:val="1"/>
      <w:numFmt w:val="bullet"/>
      <w:lvlText w:val="•"/>
      <w:lvlJc w:val="left"/>
      <w:pPr>
        <w:ind w:left="27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6203572">
      <w:start w:val="1"/>
      <w:numFmt w:val="bullet"/>
      <w:lvlText w:val="o"/>
      <w:lvlJc w:val="left"/>
      <w:pPr>
        <w:ind w:left="34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C004E2AE">
      <w:start w:val="1"/>
      <w:numFmt w:val="bullet"/>
      <w:lvlText w:val="▪"/>
      <w:lvlJc w:val="left"/>
      <w:pPr>
        <w:ind w:left="417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F1BEC7A2">
      <w:start w:val="1"/>
      <w:numFmt w:val="bullet"/>
      <w:lvlText w:val="•"/>
      <w:lvlJc w:val="left"/>
      <w:pPr>
        <w:ind w:left="48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968B78C">
      <w:start w:val="1"/>
      <w:numFmt w:val="bullet"/>
      <w:lvlText w:val="o"/>
      <w:lvlJc w:val="left"/>
      <w:pPr>
        <w:ind w:left="561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E3E4466E">
      <w:start w:val="1"/>
      <w:numFmt w:val="bullet"/>
      <w:lvlText w:val="▪"/>
      <w:lvlJc w:val="left"/>
      <w:pPr>
        <w:ind w:left="633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794F2E9D"/>
    <w:multiLevelType w:val="hybridMultilevel"/>
    <w:tmpl w:val="FFFFFFFF"/>
    <w:lvl w:ilvl="0" w:tplc="08F646A4">
      <w:start w:val="1"/>
      <w:numFmt w:val="decimal"/>
      <w:lvlText w:val="%1."/>
      <w:lvlJc w:val="left"/>
      <w:pPr>
        <w:ind w:left="64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33E6530">
      <w:start w:val="1"/>
      <w:numFmt w:val="bullet"/>
      <w:lvlText w:val="●"/>
      <w:lvlJc w:val="left"/>
      <w:pPr>
        <w:ind w:left="172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553EA9CA">
      <w:start w:val="1"/>
      <w:numFmt w:val="bullet"/>
      <w:lvlText w:val="▪"/>
      <w:lvlJc w:val="left"/>
      <w:pPr>
        <w:ind w:left="217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54001010">
      <w:start w:val="1"/>
      <w:numFmt w:val="bullet"/>
      <w:lvlText w:val="•"/>
      <w:lvlJc w:val="left"/>
      <w:pPr>
        <w:ind w:left="289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87B6BFAE">
      <w:start w:val="1"/>
      <w:numFmt w:val="bullet"/>
      <w:lvlText w:val="o"/>
      <w:lvlJc w:val="left"/>
      <w:pPr>
        <w:ind w:left="361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0C50A6F4">
      <w:start w:val="1"/>
      <w:numFmt w:val="bullet"/>
      <w:lvlText w:val="▪"/>
      <w:lvlJc w:val="left"/>
      <w:pPr>
        <w:ind w:left="433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51E66404">
      <w:start w:val="1"/>
      <w:numFmt w:val="bullet"/>
      <w:lvlText w:val="•"/>
      <w:lvlJc w:val="left"/>
      <w:pPr>
        <w:ind w:left="505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8CBEECF8">
      <w:start w:val="1"/>
      <w:numFmt w:val="bullet"/>
      <w:lvlText w:val="o"/>
      <w:lvlJc w:val="left"/>
      <w:pPr>
        <w:ind w:left="577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AAF281EC">
      <w:start w:val="1"/>
      <w:numFmt w:val="bullet"/>
      <w:lvlText w:val="▪"/>
      <w:lvlJc w:val="left"/>
      <w:pPr>
        <w:ind w:left="6496"/>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1028796569">
    <w:abstractNumId w:val="3"/>
  </w:num>
  <w:num w:numId="2" w16cid:durableId="1217087253">
    <w:abstractNumId w:val="0"/>
  </w:num>
  <w:num w:numId="3" w16cid:durableId="1976401673">
    <w:abstractNumId w:val="1"/>
  </w:num>
  <w:num w:numId="4" w16cid:durableId="1421174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A5D"/>
    <w:rsid w:val="00073D8E"/>
    <w:rsid w:val="000A5B0E"/>
    <w:rsid w:val="00283486"/>
    <w:rsid w:val="00383DF3"/>
    <w:rsid w:val="00534A5D"/>
    <w:rsid w:val="006D7A3D"/>
    <w:rsid w:val="007F1828"/>
    <w:rsid w:val="007F3CFD"/>
    <w:rsid w:val="00AB335B"/>
    <w:rsid w:val="00F0011C"/>
    <w:rsid w:val="00FD47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D000F0F"/>
  <w15:docId w15:val="{ED9B4066-88E0-B248-8273-36B8BC59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4" w:lineRule="auto"/>
      <w:ind w:left="280" w:right="54" w:hanging="10"/>
      <w:jc w:val="both"/>
    </w:pPr>
    <w:rPr>
      <w:rFonts w:ascii="Times New Roman" w:eastAsia="Times New Roman" w:hAnsi="Times New Roman" w:cs="Times New Roman"/>
      <w:color w:val="000000"/>
      <w:sz w:val="23"/>
      <w:lang w:val="en" w:eastAsia="en"/>
    </w:rPr>
  </w:style>
  <w:style w:type="paragraph" w:styleId="Heading1">
    <w:name w:val="heading 1"/>
    <w:next w:val="Normal"/>
    <w:link w:val="Heading1Char"/>
    <w:uiPriority w:val="9"/>
    <w:qFormat/>
    <w:pPr>
      <w:keepNext/>
      <w:keepLines/>
      <w:spacing w:after="131" w:line="259" w:lineRule="auto"/>
      <w:ind w:left="270"/>
      <w:outlineLvl w:val="0"/>
    </w:pPr>
    <w:rPr>
      <w:rFonts w:ascii="Times New Roman" w:eastAsia="Times New Roman" w:hAnsi="Times New Roman" w:cs="Times New Roman"/>
      <w:b/>
      <w:i/>
      <w:color w:val="000000"/>
      <w:sz w:val="23"/>
    </w:rPr>
  </w:style>
  <w:style w:type="paragraph" w:styleId="Heading2">
    <w:name w:val="heading 2"/>
    <w:next w:val="Normal"/>
    <w:link w:val="Heading2Char"/>
    <w:uiPriority w:val="9"/>
    <w:unhideWhenUsed/>
    <w:qFormat/>
    <w:pPr>
      <w:keepNext/>
      <w:keepLines/>
      <w:spacing w:after="81" w:line="259" w:lineRule="auto"/>
      <w:ind w:left="295" w:hanging="10"/>
      <w:outlineLvl w:val="1"/>
    </w:pPr>
    <w:rPr>
      <w:rFonts w:ascii="Arial" w:eastAsia="Arial" w:hAnsi="Arial" w:cs="Arial"/>
      <w:b/>
      <w:i/>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23"/>
    </w:rPr>
  </w:style>
  <w:style w:type="character" w:customStyle="1" w:styleId="Heading2Char">
    <w:name w:val="Heading 2 Char"/>
    <w:link w:val="Heading2"/>
    <w:rPr>
      <w:rFonts w:ascii="Arial" w:eastAsia="Arial" w:hAnsi="Arial" w:cs="Arial"/>
      <w:b/>
      <w:i/>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3801</Words>
  <Characters>21672</Characters>
  <Application>Microsoft Office Word</Application>
  <DocSecurity>0</DocSecurity>
  <Lines>180</Lines>
  <Paragraphs>50</Paragraphs>
  <ScaleCrop>false</ScaleCrop>
  <Company/>
  <LinksUpToDate>false</LinksUpToDate>
  <CharactersWithSpaces>25423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Assignment</dc:title>
  <dc:subject/>
  <dc:creator>nl</dc:creator>
  <cp:keywords/>
  <cp:lastModifiedBy>GIA3525, Sapana Subedi</cp:lastModifiedBy>
  <cp:revision>2</cp:revision>
  <dcterms:created xsi:type="dcterms:W3CDTF">2026-05-06T05:07:00Z</dcterms:created>
  <dcterms:modified xsi:type="dcterms:W3CDTF">2026-05-06T05:07:00Z</dcterms:modified>
</cp:coreProperties>
</file>