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A365D"/>
          <w:sz w:val="48"/>
        </w:rPr>
        <w:t>Enterprise Student Record &amp; Academic Management Platform</w:t>
      </w:r>
    </w:p>
    <w:p>
      <w:pPr>
        <w:spacing w:after="360"/>
      </w:pPr>
      <w:r>
        <w:rPr>
          <w:rFonts w:ascii="Calibri" w:hAnsi="Calibri"/>
          <w:color w:val="0D9488"/>
          <w:sz w:val="28"/>
        </w:rPr>
        <w:t>Micro Project Architecture Specification &amp; Product Planning Document</w:t>
      </w:r>
    </w:p>
    <w:p>
      <w:pPr>
        <w:spacing w:after="360"/>
        <w:pBdr>
          <w:bottom w:val="single" w:sz="18" w:space="1" w:color="1A365D"/>
        </w:pBdr>
      </w:pPr>
    </w:p>
    <w:p>
      <w:pPr>
        <w:spacing w:after="480" w:line="288" w:lineRule="auto"/>
      </w:pPr>
      <w:r>
        <w:rPr>
          <w:b/>
        </w:rPr>
        <w:t xml:space="preserve">Project Code: </w:t>
      </w:r>
      <w:r>
        <w:t>ACADX-U1-MP</w:t>
        <w:br/>
      </w:r>
      <w:r>
        <w:rPr>
          <w:b/>
        </w:rPr>
        <w:t xml:space="preserve">Unit Module: </w:t>
      </w:r>
      <w:r>
        <w:t>Unit 1 – Product Engineering &amp; Design Thinking</w:t>
        <w:br/>
      </w:r>
      <w:r>
        <w:rPr>
          <w:b/>
        </w:rPr>
        <w:t xml:space="preserve">Author / Division: </w:t>
      </w:r>
      <w:r>
        <w:t>Careertiq Technical Training &amp; Engineering Division</w:t>
        <w:br/>
      </w:r>
      <w:r>
        <w:rPr>
          <w:b/>
        </w:rPr>
        <w:t xml:space="preserve">Status: </w:t>
      </w:r>
      <w:r>
        <w:t>Approved Engineering Specification (Baseline v1.0)</w:t>
      </w:r>
    </w:p>
    <w:p>
      <w:pPr>
        <w:keepNext/>
        <w:spacing w:before="360" w:after="120"/>
      </w:pPr>
      <w:r>
        <w:rPr>
          <w:rFonts w:ascii="Calibri" w:hAnsi="Calibri"/>
          <w:b/>
          <w:color w:val="1A365D"/>
          <w:sz w:val="36"/>
        </w:rPr>
        <w:t>1. Executive Summary &amp; Project Charter</w:t>
      </w:r>
    </w:p>
    <w:p>
      <w:pPr>
        <w:spacing w:before="0" w:after="120" w:line="276" w:lineRule="auto"/>
      </w:pPr>
      <w:r>
        <w:rPr>
          <w:rFonts w:ascii="Calibri" w:hAnsi="Calibri"/>
          <w:color w:val="1F2937"/>
          <w:sz w:val="22"/>
        </w:rPr>
        <w:t>The Enterprise Student Record and Academic Management Platform (AcademicX) is an automated, scalable, and cloud-native software solution designed to modernize academic operational workflows across higher education institutions. This document establishes the foundational design thinking, product vision, requirements specification, system architecture, and product engineering roadmap required for agile development.</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none"/>
              <w:left w:val="single" w:sz="24" w:space="0" w:color="1A365D"/>
              <w:bottom w:val="none"/>
              <w:right w:val="none"/>
            </w:tcBorders>
          </w:tcPr>
          <w:p>
            <w:pPr>
              <w:spacing w:before="40" w:after="40" w:line="276" w:lineRule="auto"/>
            </w:pPr>
            <w:r>
              <w:rPr>
                <w:rFonts w:ascii="Calibri" w:hAnsi="Calibri"/>
                <w:b/>
                <w:color w:val="1A365D"/>
                <w:sz w:val="22"/>
              </w:rPr>
              <w:t>Project Mission Statement</w:t>
              <w:br/>
            </w:r>
            <w:r>
              <w:rPr>
                <w:rFonts w:ascii="Calibri" w:hAnsi="Calibri"/>
                <w:i/>
                <w:color w:val="1F2937"/>
                <w:sz w:val="21"/>
              </w:rPr>
              <w:t>To eliminate operational bottlenecks, redundant manual paper ledgers, and fragmented administrative records by providing a unified, secure, real-time academic management engine.</w:t>
            </w:r>
          </w:p>
        </w:tc>
      </w:tr>
    </w:tbl>
    <w:p>
      <w:pPr>
        <w:spacing w:before="0" w:after="120"/>
      </w:pPr>
    </w:p>
    <w:p>
      <w:pPr>
        <w:keepNext/>
        <w:spacing w:before="280" w:after="80"/>
      </w:pPr>
      <w:r>
        <w:rPr>
          <w:rFonts w:ascii="Calibri" w:hAnsi="Calibri"/>
          <w:b/>
          <w:color w:val="0D9488"/>
          <w:sz w:val="28"/>
        </w:rPr>
        <w:t>1.1 Key Project Deliverables</w:t>
      </w:r>
    </w:p>
    <w:p>
      <w:pPr>
        <w:pStyle w:val="ListBullet"/>
        <w:spacing w:before="0" w:after="60" w:line="276" w:lineRule="auto"/>
      </w:pPr>
      <w:r>
        <w:rPr>
          <w:rFonts w:ascii="Calibri" w:hAnsi="Calibri"/>
          <w:b/>
          <w:color w:val="1F2937"/>
          <w:sz w:val="22"/>
        </w:rPr>
        <w:t xml:space="preserve">Business Understanding Document: </w:t>
      </w:r>
      <w:r>
        <w:rPr>
          <w:rFonts w:ascii="Calibri" w:hAnsi="Calibri"/>
          <w:color w:val="1F2937"/>
          <w:sz w:val="22"/>
        </w:rPr>
        <w:t>Comprehensive analysis of academic workflows and manual operational failure modes.</w:t>
      </w:r>
    </w:p>
    <w:p>
      <w:pPr>
        <w:pStyle w:val="ListBullet"/>
        <w:spacing w:before="0" w:after="60" w:line="276" w:lineRule="auto"/>
      </w:pPr>
      <w:r>
        <w:rPr>
          <w:rFonts w:ascii="Calibri" w:hAnsi="Calibri"/>
          <w:b/>
          <w:color w:val="1F2937"/>
          <w:sz w:val="22"/>
        </w:rPr>
        <w:t xml:space="preserve">5-Stage Design Thinking Report: </w:t>
      </w:r>
      <w:r>
        <w:rPr>
          <w:rFonts w:ascii="Calibri" w:hAnsi="Calibri"/>
          <w:color w:val="1F2937"/>
          <w:sz w:val="22"/>
        </w:rPr>
        <w:t>Empathize, Define, Ideate, Prototype, and Test stages mapped to student and faculty needs.</w:t>
      </w:r>
    </w:p>
    <w:p>
      <w:pPr>
        <w:pStyle w:val="ListBullet"/>
        <w:spacing w:before="0" w:after="60" w:line="276" w:lineRule="auto"/>
      </w:pPr>
      <w:r>
        <w:rPr>
          <w:rFonts w:ascii="Calibri" w:hAnsi="Calibri"/>
          <w:b/>
          <w:color w:val="1F2937"/>
          <w:sz w:val="22"/>
        </w:rPr>
        <w:t xml:space="preserve">IBM Design Thinking &amp; Loop Framework: </w:t>
      </w:r>
      <w:r>
        <w:rPr>
          <w:rFonts w:ascii="Calibri" w:hAnsi="Calibri"/>
          <w:color w:val="1F2937"/>
          <w:sz w:val="22"/>
        </w:rPr>
        <w:t>Focus on User Outcomes, Restless Reinvention, and the Observe → Reflect → Make loop.</w:t>
      </w:r>
    </w:p>
    <w:p>
      <w:pPr>
        <w:pStyle w:val="ListBullet"/>
        <w:spacing w:before="0" w:after="60" w:line="276" w:lineRule="auto"/>
      </w:pPr>
      <w:r>
        <w:rPr>
          <w:rFonts w:ascii="Calibri" w:hAnsi="Calibri"/>
          <w:b/>
          <w:color w:val="1F2937"/>
          <w:sz w:val="22"/>
        </w:rPr>
        <w:t xml:space="preserve">Requirements Engineering Matrix: </w:t>
      </w:r>
      <w:r>
        <w:rPr>
          <w:rFonts w:ascii="Calibri" w:hAnsi="Calibri"/>
          <w:color w:val="1F2937"/>
          <w:sz w:val="22"/>
        </w:rPr>
        <w:t>Complete FRS and NFRS specifications, security protocols, and SLA metrics.</w:t>
      </w:r>
    </w:p>
    <w:p>
      <w:pPr>
        <w:pStyle w:val="ListBullet"/>
        <w:spacing w:before="0" w:after="60" w:line="276" w:lineRule="auto"/>
      </w:pPr>
      <w:r>
        <w:rPr>
          <w:rFonts w:ascii="Calibri" w:hAnsi="Calibri"/>
          <w:b/>
          <w:color w:val="1F2937"/>
          <w:sz w:val="22"/>
        </w:rPr>
        <w:t xml:space="preserve">System Architecture &amp; Engineering Roadmap: </w:t>
      </w:r>
      <w:r>
        <w:rPr>
          <w:rFonts w:ascii="Calibri" w:hAnsi="Calibri"/>
          <w:color w:val="1F2937"/>
          <w:sz w:val="22"/>
        </w:rPr>
        <w:t>High-level component diagrams, multi-tier repository hierarchy, and deployment pipelines.</w:t>
      </w:r>
    </w:p>
    <w:p>
      <w:pPr>
        <w:keepNext/>
        <w:spacing w:before="360" w:after="120"/>
      </w:pPr>
      <w:r>
        <w:rPr>
          <w:rFonts w:ascii="Calibri" w:hAnsi="Calibri"/>
          <w:b/>
          <w:color w:val="1A365D"/>
          <w:sz w:val="36"/>
        </w:rPr>
        <w:t>2. Business Understanding &amp; Domain Analysis</w:t>
      </w:r>
    </w:p>
    <w:p>
      <w:pPr>
        <w:spacing w:before="0" w:after="120" w:line="276" w:lineRule="auto"/>
      </w:pPr>
      <w:r>
        <w:rPr>
          <w:rFonts w:ascii="Calibri" w:hAnsi="Calibri"/>
          <w:color w:val="1F2937"/>
          <w:sz w:val="22"/>
        </w:rPr>
        <w:t>Academic record management in higher education involves complex workflows encompassing student admissions, course registrations, daily attendance tracking, internal/external examinations, grading engines, and academic transcript generation. Traditional manual processes lead to severe administrative overhead, data fragmentation, and vulnerability to human errors.</w:t>
      </w:r>
    </w:p>
    <w:p>
      <w:pPr>
        <w:keepNext/>
        <w:spacing w:before="280" w:after="80"/>
      </w:pPr>
      <w:r>
        <w:rPr>
          <w:rFonts w:ascii="Calibri" w:hAnsi="Calibri"/>
          <w:b/>
          <w:color w:val="0D9488"/>
          <w:sz w:val="28"/>
        </w:rPr>
        <w:t>2.1 Comparative Analysis: Manual Bottlenecks vs. AcademicX Solutions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A365D"/>
            <w:tcMar>
              <w:top w:w="120" w:type="dxa"/>
              <w:bottom w:w="120" w:type="dxa"/>
              <w:left w:w="120" w:type="dxa"/>
              <w:right w:w="120" w:type="dxa"/>
            </w:tcMar>
          </w:tcPr>
          <w:p>
            <w:pPr>
              <w:jc w:val="left"/>
            </w:pPr>
            <w:r>
              <w:rPr>
                <w:rFonts w:ascii="Calibri" w:hAnsi="Calibri"/>
                <w:b/>
                <w:color w:val="FFFFFF"/>
                <w:sz w:val="20"/>
              </w:rPr>
              <w:t>Operational Domain</w:t>
            </w:r>
          </w:p>
        </w:tc>
        <w:tc>
          <w:tcPr>
            <w:tcW w:type="dxa" w:w="3600"/>
            <w:shd w:fill="1A365D"/>
            <w:tcMar>
              <w:top w:w="120" w:type="dxa"/>
              <w:bottom w:w="120" w:type="dxa"/>
              <w:left w:w="120" w:type="dxa"/>
              <w:right w:w="120" w:type="dxa"/>
            </w:tcMar>
          </w:tcPr>
          <w:p>
            <w:pPr>
              <w:jc w:val="left"/>
            </w:pPr>
            <w:r>
              <w:rPr>
                <w:rFonts w:ascii="Calibri" w:hAnsi="Calibri"/>
                <w:b/>
                <w:color w:val="FFFFFF"/>
                <w:sz w:val="20"/>
              </w:rPr>
              <w:t>Manual Bottleneck &amp; Risk</w:t>
            </w:r>
          </w:p>
        </w:tc>
        <w:tc>
          <w:tcPr>
            <w:tcW w:type="dxa" w:w="3600"/>
            <w:shd w:fill="1A365D"/>
            <w:tcMar>
              <w:top w:w="120" w:type="dxa"/>
              <w:bottom w:w="120" w:type="dxa"/>
              <w:left w:w="120" w:type="dxa"/>
              <w:right w:w="120" w:type="dxa"/>
            </w:tcMar>
          </w:tcPr>
          <w:p>
            <w:pPr>
              <w:jc w:val="left"/>
            </w:pPr>
            <w:r>
              <w:rPr>
                <w:rFonts w:ascii="Calibri" w:hAnsi="Calibri"/>
                <w:b/>
                <w:color w:val="FFFFFF"/>
                <w:sz w:val="20"/>
              </w:rPr>
              <w:t>AcademicX Automated Solution</w:t>
            </w:r>
          </w:p>
        </w:tc>
      </w:tr>
      <w:tr>
        <w:tc>
          <w:tcPr>
            <w:tcW w:type="dxa" w:w="2160"/>
            <w:tcMar>
              <w:top w:w="100" w:type="dxa"/>
              <w:bottom w:w="100" w:type="dxa"/>
              <w:left w:w="120" w:type="dxa"/>
              <w:right w:w="120" w:type="dxa"/>
            </w:tcMar>
          </w:tcPr>
          <w:p>
            <w:r>
              <w:rPr>
                <w:rFonts w:ascii="Calibri" w:hAnsi="Calibri"/>
                <w:color w:val="1F2937"/>
                <w:sz w:val="19"/>
              </w:rPr>
              <w:t>Student Admissions &amp; Profiles</w:t>
            </w:r>
          </w:p>
        </w:tc>
        <w:tc>
          <w:tcPr>
            <w:tcW w:type="dxa" w:w="3600"/>
            <w:tcMar>
              <w:top w:w="100" w:type="dxa"/>
              <w:bottom w:w="100" w:type="dxa"/>
              <w:left w:w="120" w:type="dxa"/>
              <w:right w:w="120" w:type="dxa"/>
            </w:tcMar>
          </w:tcPr>
          <w:p>
            <w:r>
              <w:rPr>
                <w:rFonts w:ascii="Calibri" w:hAnsi="Calibri"/>
                <w:color w:val="1F2937"/>
                <w:sz w:val="19"/>
              </w:rPr>
              <w:t>Paper-based forms, duplicated data entry, high loss rate.</w:t>
            </w:r>
          </w:p>
        </w:tc>
        <w:tc>
          <w:tcPr>
            <w:tcW w:type="dxa" w:w="3600"/>
            <w:tcMar>
              <w:top w:w="100" w:type="dxa"/>
              <w:bottom w:w="100" w:type="dxa"/>
              <w:left w:w="120" w:type="dxa"/>
              <w:right w:w="120" w:type="dxa"/>
            </w:tcMar>
          </w:tcPr>
          <w:p>
            <w:r>
              <w:rPr>
                <w:rFonts w:ascii="Calibri" w:hAnsi="Calibri"/>
                <w:color w:val="1F2937"/>
                <w:sz w:val="19"/>
              </w:rPr>
              <w:t>Centralized relational student portal with secure file storage.</w:t>
            </w:r>
          </w:p>
        </w:tc>
      </w:tr>
      <w:tr>
        <w:tc>
          <w:tcPr>
            <w:tcW w:type="dxa" w:w="2160"/>
            <w:shd w:fill="F3F4F6"/>
            <w:tcMar>
              <w:top w:w="100" w:type="dxa"/>
              <w:bottom w:w="100" w:type="dxa"/>
              <w:left w:w="120" w:type="dxa"/>
              <w:right w:w="120" w:type="dxa"/>
            </w:tcMar>
          </w:tcPr>
          <w:p>
            <w:r>
              <w:rPr>
                <w:rFonts w:ascii="Calibri" w:hAnsi="Calibri"/>
                <w:color w:val="1F2937"/>
                <w:sz w:val="19"/>
              </w:rPr>
              <w:t>Course Registration</w:t>
            </w:r>
          </w:p>
        </w:tc>
        <w:tc>
          <w:tcPr>
            <w:tcW w:type="dxa" w:w="3600"/>
            <w:shd w:fill="F3F4F6"/>
            <w:tcMar>
              <w:top w:w="100" w:type="dxa"/>
              <w:bottom w:w="100" w:type="dxa"/>
              <w:left w:w="120" w:type="dxa"/>
              <w:right w:w="120" w:type="dxa"/>
            </w:tcMar>
          </w:tcPr>
          <w:p>
            <w:r>
              <w:rPr>
                <w:rFonts w:ascii="Calibri" w:hAnsi="Calibri"/>
                <w:color w:val="1F2937"/>
                <w:sz w:val="19"/>
              </w:rPr>
              <w:t>Physical queueing, delayed seat allocation, enrollment errors.</w:t>
            </w:r>
          </w:p>
        </w:tc>
        <w:tc>
          <w:tcPr>
            <w:tcW w:type="dxa" w:w="3600"/>
            <w:shd w:fill="F3F4F6"/>
            <w:tcMar>
              <w:top w:w="100" w:type="dxa"/>
              <w:bottom w:w="100" w:type="dxa"/>
              <w:left w:w="120" w:type="dxa"/>
              <w:right w:w="120" w:type="dxa"/>
            </w:tcMar>
          </w:tcPr>
          <w:p>
            <w:r>
              <w:rPr>
                <w:rFonts w:ascii="Calibri" w:hAnsi="Calibri"/>
                <w:color w:val="1F2937"/>
                <w:sz w:val="19"/>
              </w:rPr>
              <w:t>Role-based dynamic registration portal with capacity limits.</w:t>
            </w:r>
          </w:p>
        </w:tc>
      </w:tr>
      <w:tr>
        <w:tc>
          <w:tcPr>
            <w:tcW w:type="dxa" w:w="2160"/>
            <w:tcMar>
              <w:top w:w="100" w:type="dxa"/>
              <w:bottom w:w="100" w:type="dxa"/>
              <w:left w:w="120" w:type="dxa"/>
              <w:right w:w="120" w:type="dxa"/>
            </w:tcMar>
          </w:tcPr>
          <w:p>
            <w:r>
              <w:rPr>
                <w:rFonts w:ascii="Calibri" w:hAnsi="Calibri"/>
                <w:color w:val="1F2937"/>
                <w:sz w:val="19"/>
              </w:rPr>
              <w:t>Attendance Tracking</w:t>
            </w:r>
          </w:p>
        </w:tc>
        <w:tc>
          <w:tcPr>
            <w:tcW w:type="dxa" w:w="3600"/>
            <w:tcMar>
              <w:top w:w="100" w:type="dxa"/>
              <w:bottom w:w="100" w:type="dxa"/>
              <w:left w:w="120" w:type="dxa"/>
              <w:right w:w="120" w:type="dxa"/>
            </w:tcMar>
          </w:tcPr>
          <w:p>
            <w:r>
              <w:rPr>
                <w:rFonts w:ascii="Calibri" w:hAnsi="Calibri"/>
                <w:color w:val="1F2937"/>
                <w:sz w:val="19"/>
              </w:rPr>
              <w:t>Manual paper ledgers, proxy mark vulnerabilities, tedious tallying.</w:t>
            </w:r>
          </w:p>
        </w:tc>
        <w:tc>
          <w:tcPr>
            <w:tcW w:type="dxa" w:w="3600"/>
            <w:tcMar>
              <w:top w:w="100" w:type="dxa"/>
              <w:bottom w:w="100" w:type="dxa"/>
              <w:left w:w="120" w:type="dxa"/>
              <w:right w:w="120" w:type="dxa"/>
            </w:tcMar>
          </w:tcPr>
          <w:p>
            <w:r>
              <w:rPr>
                <w:rFonts w:ascii="Calibri" w:hAnsi="Calibri"/>
                <w:color w:val="1F2937"/>
                <w:sz w:val="19"/>
              </w:rPr>
              <w:t>Automated digital attendance portal with real-time analytics.</w:t>
            </w:r>
          </w:p>
        </w:tc>
      </w:tr>
      <w:tr>
        <w:tc>
          <w:tcPr>
            <w:tcW w:type="dxa" w:w="2160"/>
            <w:shd w:fill="F3F4F6"/>
            <w:tcMar>
              <w:top w:w="100" w:type="dxa"/>
              <w:bottom w:w="100" w:type="dxa"/>
              <w:left w:w="120" w:type="dxa"/>
              <w:right w:w="120" w:type="dxa"/>
            </w:tcMar>
          </w:tcPr>
          <w:p>
            <w:r>
              <w:rPr>
                <w:rFonts w:ascii="Calibri" w:hAnsi="Calibri"/>
                <w:color w:val="1F2937"/>
                <w:sz w:val="19"/>
              </w:rPr>
              <w:t>Examinations &amp; Results</w:t>
            </w:r>
          </w:p>
        </w:tc>
        <w:tc>
          <w:tcPr>
            <w:tcW w:type="dxa" w:w="3600"/>
            <w:shd w:fill="F3F4F6"/>
            <w:tcMar>
              <w:top w:w="100" w:type="dxa"/>
              <w:bottom w:w="100" w:type="dxa"/>
              <w:left w:w="120" w:type="dxa"/>
              <w:right w:w="120" w:type="dxa"/>
            </w:tcMar>
          </w:tcPr>
          <w:p>
            <w:r>
              <w:rPr>
                <w:rFonts w:ascii="Calibri" w:hAnsi="Calibri"/>
                <w:color w:val="1F2937"/>
                <w:sz w:val="19"/>
              </w:rPr>
              <w:t>Manual grade computation, transcript delays, formula errors.</w:t>
            </w:r>
          </w:p>
        </w:tc>
        <w:tc>
          <w:tcPr>
            <w:tcW w:type="dxa" w:w="3600"/>
            <w:shd w:fill="F3F4F6"/>
            <w:tcMar>
              <w:top w:w="100" w:type="dxa"/>
              <w:bottom w:w="100" w:type="dxa"/>
              <w:left w:w="120" w:type="dxa"/>
              <w:right w:w="120" w:type="dxa"/>
            </w:tcMar>
          </w:tcPr>
          <w:p>
            <w:r>
              <w:rPr>
                <w:rFonts w:ascii="Calibri" w:hAnsi="Calibri"/>
                <w:color w:val="1F2937"/>
                <w:sz w:val="19"/>
              </w:rPr>
              <w:t>Automated GPA calculation engine with instantaneous publishing.</w:t>
            </w:r>
          </w:p>
        </w:tc>
      </w:tr>
    </w:tbl>
    <w:p>
      <w:pPr>
        <w:spacing w:after="120"/>
      </w:pPr>
    </w:p>
    <w:p>
      <w:pPr>
        <w:keepNext/>
        <w:spacing w:before="360" w:after="120"/>
      </w:pPr>
      <w:r>
        <w:rPr>
          <w:rFonts w:ascii="Calibri" w:hAnsi="Calibri"/>
          <w:b/>
          <w:color w:val="1A365D"/>
          <w:sz w:val="36"/>
        </w:rPr>
        <w:t>3. Design Thinking Framework</w:t>
      </w:r>
    </w:p>
    <w:p>
      <w:pPr>
        <w:spacing w:before="0" w:after="120" w:line="276" w:lineRule="auto"/>
      </w:pPr>
      <w:r>
        <w:rPr>
          <w:rFonts w:ascii="Calibri" w:hAnsi="Calibri"/>
          <w:color w:val="1F2937"/>
          <w:sz w:val="22"/>
        </w:rPr>
        <w:t>Applying a human-centered 5-stage Design Thinking framework ensures that AcademicX solves genuine operational pain points experienced by students, faculty members, and academic administrators.</w:t>
      </w:r>
    </w:p>
    <w:p>
      <w:pPr>
        <w:keepNext/>
        <w:spacing w:before="280" w:after="80"/>
      </w:pPr>
      <w:r>
        <w:rPr>
          <w:rFonts w:ascii="Calibri" w:hAnsi="Calibri"/>
          <w:b/>
          <w:color w:val="0D9488"/>
          <w:sz w:val="28"/>
        </w:rPr>
        <w:t>3.1 Five Stages Execution</w:t>
      </w:r>
    </w:p>
    <w:p>
      <w:pPr>
        <w:pStyle w:val="ListBullet"/>
        <w:spacing w:before="0" w:after="60" w:line="276" w:lineRule="auto"/>
      </w:pPr>
      <w:r>
        <w:rPr>
          <w:rFonts w:ascii="Calibri" w:hAnsi="Calibri"/>
          <w:b/>
          <w:color w:val="1F2937"/>
          <w:sz w:val="22"/>
        </w:rPr>
        <w:t xml:space="preserve">Stage 1: Empathize – </w:t>
      </w:r>
      <w:r>
        <w:rPr>
          <w:rFonts w:ascii="Calibri" w:hAnsi="Calibri"/>
          <w:color w:val="1F2937"/>
          <w:sz w:val="22"/>
        </w:rPr>
        <w:t>Conducting field observations, interviewing students during registration, and shadow-tracking faculty members during examination evaluation cycles.</w:t>
      </w:r>
    </w:p>
    <w:p>
      <w:pPr>
        <w:pStyle w:val="ListBullet"/>
        <w:spacing w:before="0" w:after="60" w:line="276" w:lineRule="auto"/>
      </w:pPr>
      <w:r>
        <w:rPr>
          <w:rFonts w:ascii="Calibri" w:hAnsi="Calibri"/>
          <w:b/>
          <w:color w:val="1F2937"/>
          <w:sz w:val="22"/>
        </w:rPr>
        <w:t xml:space="preserve">Stage 2: Define – </w:t>
      </w:r>
      <w:r>
        <w:rPr>
          <w:rFonts w:ascii="Calibri" w:hAnsi="Calibri"/>
          <w:color w:val="1F2937"/>
          <w:sz w:val="22"/>
        </w:rPr>
        <w:t>Synthesizing research into a core problem statement: 'Academic stakeholders face severe operational friction, data delays, and record inaccuracies due to fragmented manual processes.'</w:t>
      </w:r>
    </w:p>
    <w:p>
      <w:pPr>
        <w:pStyle w:val="ListBullet"/>
        <w:spacing w:before="0" w:after="60" w:line="276" w:lineRule="auto"/>
      </w:pPr>
      <w:r>
        <w:rPr>
          <w:rFonts w:ascii="Calibri" w:hAnsi="Calibri"/>
          <w:b/>
          <w:color w:val="1F2937"/>
          <w:sz w:val="22"/>
        </w:rPr>
        <w:t xml:space="preserve">Stage 3: Ideate – </w:t>
      </w:r>
      <w:r>
        <w:rPr>
          <w:rFonts w:ascii="Calibri" w:hAnsi="Calibri"/>
          <w:color w:val="1F2937"/>
          <w:sz w:val="22"/>
        </w:rPr>
        <w:t>Brainstorming solutions including automated attendance triggers, one-click grade processing, and self-serve student performance dashboards.</w:t>
      </w:r>
    </w:p>
    <w:p>
      <w:pPr>
        <w:pStyle w:val="ListBullet"/>
        <w:spacing w:before="0" w:after="60" w:line="276" w:lineRule="auto"/>
      </w:pPr>
      <w:r>
        <w:rPr>
          <w:rFonts w:ascii="Calibri" w:hAnsi="Calibri"/>
          <w:b/>
          <w:color w:val="1F2937"/>
          <w:sz w:val="22"/>
        </w:rPr>
        <w:t xml:space="preserve">Stage 4: Prototype – </w:t>
      </w:r>
      <w:r>
        <w:rPr>
          <w:rFonts w:ascii="Calibri" w:hAnsi="Calibri"/>
          <w:color w:val="1F2937"/>
          <w:sz w:val="22"/>
        </w:rPr>
        <w:t>Developing interactive low-fidelity UI/UX wireframes and workflow diagrams for student, faculty, and administrative views.</w:t>
      </w:r>
    </w:p>
    <w:p>
      <w:pPr>
        <w:pStyle w:val="ListBullet"/>
        <w:spacing w:before="0" w:after="60" w:line="276" w:lineRule="auto"/>
      </w:pPr>
      <w:r>
        <w:rPr>
          <w:rFonts w:ascii="Calibri" w:hAnsi="Calibri"/>
          <w:b/>
          <w:color w:val="1F2937"/>
          <w:sz w:val="22"/>
        </w:rPr>
        <w:t xml:space="preserve">Stage 5: Test – </w:t>
      </w:r>
      <w:r>
        <w:rPr>
          <w:rFonts w:ascii="Calibri" w:hAnsi="Calibri"/>
          <w:color w:val="1F2937"/>
          <w:sz w:val="22"/>
        </w:rPr>
        <w:t>Executing usability testing sessions with focus groups of students and university staff to refine navigation and feature accessibility.</w:t>
      </w:r>
    </w:p>
    <w:p>
      <w:pPr>
        <w:keepNext/>
        <w:spacing w:before="360" w:after="120"/>
      </w:pPr>
      <w:r>
        <w:rPr>
          <w:rFonts w:ascii="Calibri" w:hAnsi="Calibri"/>
          <w:b/>
          <w:color w:val="1A365D"/>
          <w:sz w:val="36"/>
        </w:rPr>
        <w:t>4. IBM Design Thinking &amp; The Loop Engine</w:t>
      </w:r>
    </w:p>
    <w:p>
      <w:pPr>
        <w:spacing w:before="0" w:after="120" w:line="276" w:lineRule="auto"/>
      </w:pPr>
      <w:r>
        <w:rPr>
          <w:rFonts w:ascii="Calibri" w:hAnsi="Calibri"/>
          <w:color w:val="1F2937"/>
          <w:sz w:val="22"/>
        </w:rPr>
        <w:t>AcademicX leverages IBM Design Thinking principles to scale human-centered design across enterprise development teams, driving continuous alignment through the Observe → Reflect → Make cycle.</w:t>
      </w:r>
    </w:p>
    <w:p>
      <w:pPr>
        <w:keepNext/>
        <w:spacing w:before="280" w:after="80"/>
      </w:pPr>
      <w:r>
        <w:rPr>
          <w:rFonts w:ascii="Calibri" w:hAnsi="Calibri"/>
          <w:b/>
          <w:color w:val="0D9488"/>
          <w:sz w:val="28"/>
        </w:rPr>
        <w:t>4.1 IBM Design Thinking Pillars</w:t>
      </w:r>
    </w:p>
    <w:p>
      <w:pPr>
        <w:pStyle w:val="ListBullet"/>
        <w:spacing w:before="0" w:after="60" w:line="276" w:lineRule="auto"/>
      </w:pPr>
      <w:r>
        <w:rPr>
          <w:rFonts w:ascii="Calibri" w:hAnsi="Calibri"/>
          <w:b/>
          <w:color w:val="1F2937"/>
          <w:sz w:val="22"/>
        </w:rPr>
        <w:t xml:space="preserve">Focus on User Outcomes: </w:t>
      </w:r>
      <w:r>
        <w:rPr>
          <w:rFonts w:ascii="Calibri" w:hAnsi="Calibri"/>
          <w:color w:val="1F2937"/>
          <w:sz w:val="22"/>
        </w:rPr>
        <w:t>Replacing technical milestones with human outcomes (e.g., 'Reduce student course registration time to under 2 minutes').</w:t>
      </w:r>
    </w:p>
    <w:p>
      <w:pPr>
        <w:pStyle w:val="ListBullet"/>
        <w:spacing w:before="0" w:after="60" w:line="276" w:lineRule="auto"/>
      </w:pPr>
      <w:r>
        <w:rPr>
          <w:rFonts w:ascii="Calibri" w:hAnsi="Calibri"/>
          <w:b/>
          <w:color w:val="1F2937"/>
          <w:sz w:val="22"/>
        </w:rPr>
        <w:t xml:space="preserve">Restless Reinvention: </w:t>
      </w:r>
      <w:r>
        <w:rPr>
          <w:rFonts w:ascii="Calibri" w:hAnsi="Calibri"/>
          <w:color w:val="1F2937"/>
          <w:sz w:val="22"/>
        </w:rPr>
        <w:t>Continuous deployment and ongoing UI/UX iterations based on production usage telemetry.</w:t>
      </w:r>
    </w:p>
    <w:p>
      <w:pPr>
        <w:pStyle w:val="ListBullet"/>
        <w:spacing w:before="0" w:after="60" w:line="276" w:lineRule="auto"/>
      </w:pPr>
      <w:r>
        <w:rPr>
          <w:rFonts w:ascii="Calibri" w:hAnsi="Calibri"/>
          <w:b/>
          <w:color w:val="1F2937"/>
          <w:sz w:val="22"/>
        </w:rPr>
        <w:t xml:space="preserve">Diverse Empowered Teams: </w:t>
      </w:r>
      <w:r>
        <w:rPr>
          <w:rFonts w:ascii="Calibri" w:hAnsi="Calibri"/>
          <w:color w:val="1F2937"/>
          <w:sz w:val="22"/>
        </w:rPr>
        <w:t>Cross-functional team collaboration uniting Product Managers, UI/UX Designers, Engineers, QA, and DevOps.</w:t>
      </w:r>
    </w:p>
    <w:p>
      <w:pPr>
        <w:keepNext/>
        <w:spacing w:before="280" w:after="80"/>
      </w:pPr>
      <w:r>
        <w:rPr>
          <w:rFonts w:ascii="Calibri" w:hAnsi="Calibri"/>
          <w:b/>
          <w:color w:val="0D9488"/>
          <w:sz w:val="28"/>
        </w:rPr>
        <w:t>4.2 The Observe → Reflect → Make Continuous Loop</w:t>
      </w:r>
    </w:p>
    <w:p>
      <w:pPr>
        <w:pStyle w:val="ListBullet"/>
        <w:spacing w:before="0" w:after="60" w:line="276" w:lineRule="auto"/>
      </w:pPr>
      <w:r>
        <w:rPr>
          <w:rFonts w:ascii="Calibri" w:hAnsi="Calibri"/>
          <w:b/>
          <w:color w:val="1F2937"/>
          <w:sz w:val="22"/>
        </w:rPr>
        <w:t xml:space="preserve">Observe Phase: </w:t>
      </w:r>
      <w:r>
        <w:rPr>
          <w:rFonts w:ascii="Calibri" w:hAnsi="Calibri"/>
          <w:color w:val="1F2937"/>
          <w:sz w:val="22"/>
        </w:rPr>
        <w:t>Monitor user interaction metrics, system latency, registration bottlenecks, and operational errors in production.</w:t>
      </w:r>
    </w:p>
    <w:p>
      <w:pPr>
        <w:pStyle w:val="ListBullet"/>
        <w:spacing w:before="0" w:after="60" w:line="276" w:lineRule="auto"/>
      </w:pPr>
      <w:r>
        <w:rPr>
          <w:rFonts w:ascii="Calibri" w:hAnsi="Calibri"/>
          <w:b/>
          <w:color w:val="1F2937"/>
          <w:sz w:val="22"/>
        </w:rPr>
        <w:t xml:space="preserve">Reflect Phase: </w:t>
      </w:r>
      <w:r>
        <w:rPr>
          <w:rFonts w:ascii="Calibri" w:hAnsi="Calibri"/>
          <w:color w:val="1F2937"/>
          <w:sz w:val="22"/>
        </w:rPr>
        <w:t>Analyze telemetry, prioritize feature backlogs, re-evaluate business alignment, and refine architecture design.</w:t>
      </w:r>
    </w:p>
    <w:p>
      <w:pPr>
        <w:pStyle w:val="ListBullet"/>
        <w:spacing w:before="0" w:after="60" w:line="276" w:lineRule="auto"/>
      </w:pPr>
      <w:r>
        <w:rPr>
          <w:rFonts w:ascii="Calibri" w:hAnsi="Calibri"/>
          <w:b/>
          <w:color w:val="1F2937"/>
          <w:sz w:val="22"/>
        </w:rPr>
        <w:t xml:space="preserve">Make Phase: </w:t>
      </w:r>
      <w:r>
        <w:rPr>
          <w:rFonts w:ascii="Calibri" w:hAnsi="Calibri"/>
          <w:color w:val="1F2937"/>
          <w:sz w:val="22"/>
        </w:rPr>
        <w:t>Develop backend services, design frontend interfaces, conduct automated testing, and release through CI/CD pipelines.</w:t>
      </w:r>
    </w:p>
    <w:p>
      <w:pPr>
        <w:keepNext/>
        <w:spacing w:before="360" w:after="120"/>
      </w:pPr>
      <w:r>
        <w:rPr>
          <w:rFonts w:ascii="Calibri" w:hAnsi="Calibri"/>
          <w:b/>
          <w:color w:val="1A365D"/>
          <w:sz w:val="36"/>
        </w:rPr>
        <w:t>5. Stakeholder Analysis &amp; User Personas</w:t>
      </w:r>
    </w:p>
    <w:p>
      <w:pPr>
        <w:spacing w:before="0" w:after="120" w:line="276" w:lineRule="auto"/>
      </w:pPr>
      <w:r>
        <w:rPr>
          <w:rFonts w:ascii="Calibri" w:hAnsi="Calibri"/>
          <w:color w:val="1F2937"/>
          <w:sz w:val="22"/>
        </w:rPr>
        <w:t>To ensure broad alignment, key institutional roles were mapped to specific system capabilities and target outcomes.</w:t>
      </w:r>
    </w:p>
    <w:p>
      <w:pPr>
        <w:keepNext/>
        <w:spacing w:before="280" w:after="80"/>
      </w:pPr>
      <w:r>
        <w:rPr>
          <w:rFonts w:ascii="Calibri" w:hAnsi="Calibri"/>
          <w:b/>
          <w:color w:val="0D9488"/>
          <w:sz w:val="28"/>
        </w:rPr>
        <w:t>5.1 Key User Personas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728"/>
            <w:shd w:fill="1A365D"/>
            <w:tcMar>
              <w:top w:w="120" w:type="dxa"/>
              <w:bottom w:w="120" w:type="dxa"/>
              <w:left w:w="100" w:type="dxa"/>
              <w:right w:w="100" w:type="dxa"/>
            </w:tcMar>
          </w:tcPr>
          <w:p>
            <w:pPr>
              <w:jc w:val="left"/>
            </w:pPr>
            <w:r>
              <w:rPr>
                <w:rFonts w:ascii="Calibri" w:hAnsi="Calibri"/>
                <w:b/>
                <w:color w:val="FFFFFF"/>
                <w:sz w:val="20"/>
              </w:rPr>
              <w:t>Persona Name</w:t>
            </w:r>
          </w:p>
        </w:tc>
        <w:tc>
          <w:tcPr>
            <w:tcW w:type="dxa" w:w="2160"/>
            <w:shd w:fill="1A365D"/>
            <w:tcMar>
              <w:top w:w="120" w:type="dxa"/>
              <w:bottom w:w="120" w:type="dxa"/>
              <w:left w:w="100" w:type="dxa"/>
              <w:right w:w="100" w:type="dxa"/>
            </w:tcMar>
          </w:tcPr>
          <w:p>
            <w:pPr>
              <w:jc w:val="left"/>
            </w:pPr>
            <w:r>
              <w:rPr>
                <w:rFonts w:ascii="Calibri" w:hAnsi="Calibri"/>
                <w:b/>
                <w:color w:val="FFFFFF"/>
                <w:sz w:val="20"/>
              </w:rPr>
              <w:t>Role / Target Group</w:t>
            </w:r>
          </w:p>
        </w:tc>
        <w:tc>
          <w:tcPr>
            <w:tcW w:type="dxa" w:w="2880"/>
            <w:shd w:fill="1A365D"/>
            <w:tcMar>
              <w:top w:w="120" w:type="dxa"/>
              <w:bottom w:w="120" w:type="dxa"/>
              <w:left w:w="100" w:type="dxa"/>
              <w:right w:w="100" w:type="dxa"/>
            </w:tcMar>
          </w:tcPr>
          <w:p>
            <w:pPr>
              <w:jc w:val="left"/>
            </w:pPr>
            <w:r>
              <w:rPr>
                <w:rFonts w:ascii="Calibri" w:hAnsi="Calibri"/>
                <w:b/>
                <w:color w:val="FFFFFF"/>
                <w:sz w:val="20"/>
              </w:rPr>
              <w:t>Primary Pain Points</w:t>
            </w:r>
          </w:p>
        </w:tc>
        <w:tc>
          <w:tcPr>
            <w:tcW w:type="dxa" w:w="2592"/>
            <w:shd w:fill="1A365D"/>
            <w:tcMar>
              <w:top w:w="120" w:type="dxa"/>
              <w:bottom w:w="120" w:type="dxa"/>
              <w:left w:w="100" w:type="dxa"/>
              <w:right w:w="100" w:type="dxa"/>
            </w:tcMar>
          </w:tcPr>
          <w:p>
            <w:pPr>
              <w:jc w:val="left"/>
            </w:pPr>
            <w:r>
              <w:rPr>
                <w:rFonts w:ascii="Calibri" w:hAnsi="Calibri"/>
                <w:b/>
                <w:color w:val="FFFFFF"/>
                <w:sz w:val="20"/>
              </w:rPr>
              <w:t>AcademicX Target Feature</w:t>
            </w:r>
          </w:p>
        </w:tc>
      </w:tr>
      <w:tr>
        <w:tc>
          <w:tcPr>
            <w:tcW w:type="dxa" w:w="1728"/>
            <w:tcMar>
              <w:top w:w="100" w:type="dxa"/>
              <w:bottom w:w="100" w:type="dxa"/>
              <w:left w:w="100" w:type="dxa"/>
              <w:right w:w="100" w:type="dxa"/>
            </w:tcMar>
          </w:tcPr>
          <w:p>
            <w:r>
              <w:rPr>
                <w:rFonts w:ascii="Calibri" w:hAnsi="Calibri"/>
                <w:color w:val="1F2937"/>
                <w:sz w:val="19"/>
              </w:rPr>
              <w:t>Rohan Sharma</w:t>
            </w:r>
          </w:p>
        </w:tc>
        <w:tc>
          <w:tcPr>
            <w:tcW w:type="dxa" w:w="2160"/>
            <w:tcMar>
              <w:top w:w="100" w:type="dxa"/>
              <w:bottom w:w="100" w:type="dxa"/>
              <w:left w:w="100" w:type="dxa"/>
              <w:right w:w="100" w:type="dxa"/>
            </w:tcMar>
          </w:tcPr>
          <w:p>
            <w:r>
              <w:rPr>
                <w:rFonts w:ascii="Calibri" w:hAnsi="Calibri"/>
                <w:color w:val="1F2937"/>
                <w:sz w:val="19"/>
              </w:rPr>
              <w:t>Undergraduate Student</w:t>
            </w:r>
          </w:p>
        </w:tc>
        <w:tc>
          <w:tcPr>
            <w:tcW w:type="dxa" w:w="2880"/>
            <w:tcMar>
              <w:top w:w="100" w:type="dxa"/>
              <w:bottom w:w="100" w:type="dxa"/>
              <w:left w:w="100" w:type="dxa"/>
              <w:right w:w="100" w:type="dxa"/>
            </w:tcMar>
          </w:tcPr>
          <w:p>
            <w:r>
              <w:rPr>
                <w:rFonts w:ascii="Calibri" w:hAnsi="Calibri"/>
                <w:color w:val="1F2937"/>
                <w:sz w:val="19"/>
              </w:rPr>
              <w:t>Long queues, lack of visibility in grades, lost paper forms.</w:t>
            </w:r>
          </w:p>
        </w:tc>
        <w:tc>
          <w:tcPr>
            <w:tcW w:type="dxa" w:w="2592"/>
            <w:tcMar>
              <w:top w:w="100" w:type="dxa"/>
              <w:bottom w:w="100" w:type="dxa"/>
              <w:left w:w="100" w:type="dxa"/>
              <w:right w:w="100" w:type="dxa"/>
            </w:tcMar>
          </w:tcPr>
          <w:p>
            <w:r>
              <w:rPr>
                <w:rFonts w:ascii="Calibri" w:hAnsi="Calibri"/>
                <w:color w:val="1F2937"/>
                <w:sz w:val="19"/>
              </w:rPr>
              <w:t>Self-service Student Portal &amp; Grade Analytics.</w:t>
            </w:r>
          </w:p>
        </w:tc>
      </w:tr>
      <w:tr>
        <w:tc>
          <w:tcPr>
            <w:tcW w:type="dxa" w:w="1728"/>
            <w:shd w:fill="F3F4F6"/>
            <w:tcMar>
              <w:top w:w="100" w:type="dxa"/>
              <w:bottom w:w="100" w:type="dxa"/>
              <w:left w:w="100" w:type="dxa"/>
              <w:right w:w="100" w:type="dxa"/>
            </w:tcMar>
          </w:tcPr>
          <w:p>
            <w:r>
              <w:rPr>
                <w:rFonts w:ascii="Calibri" w:hAnsi="Calibri"/>
                <w:color w:val="1F2937"/>
                <w:sz w:val="19"/>
              </w:rPr>
              <w:t>Dr. Ananya Roy</w:t>
            </w:r>
          </w:p>
        </w:tc>
        <w:tc>
          <w:tcPr>
            <w:tcW w:type="dxa" w:w="2160"/>
            <w:shd w:fill="F3F4F6"/>
            <w:tcMar>
              <w:top w:w="100" w:type="dxa"/>
              <w:bottom w:w="100" w:type="dxa"/>
              <w:left w:w="100" w:type="dxa"/>
              <w:right w:w="100" w:type="dxa"/>
            </w:tcMar>
          </w:tcPr>
          <w:p>
            <w:r>
              <w:rPr>
                <w:rFonts w:ascii="Calibri" w:hAnsi="Calibri"/>
                <w:color w:val="1F2937"/>
                <w:sz w:val="19"/>
              </w:rPr>
              <w:t>Faculty Member</w:t>
            </w:r>
          </w:p>
        </w:tc>
        <w:tc>
          <w:tcPr>
            <w:tcW w:type="dxa" w:w="2880"/>
            <w:shd w:fill="F3F4F6"/>
            <w:tcMar>
              <w:top w:w="100" w:type="dxa"/>
              <w:bottom w:w="100" w:type="dxa"/>
              <w:left w:w="100" w:type="dxa"/>
              <w:right w:w="100" w:type="dxa"/>
            </w:tcMar>
          </w:tcPr>
          <w:p>
            <w:r>
              <w:rPr>
                <w:rFonts w:ascii="Calibri" w:hAnsi="Calibri"/>
                <w:color w:val="1F2937"/>
                <w:sz w:val="19"/>
              </w:rPr>
              <w:t>Time-consuming manual attendance, complex grading sheets.</w:t>
            </w:r>
          </w:p>
        </w:tc>
        <w:tc>
          <w:tcPr>
            <w:tcW w:type="dxa" w:w="2592"/>
            <w:shd w:fill="F3F4F6"/>
            <w:tcMar>
              <w:top w:w="100" w:type="dxa"/>
              <w:bottom w:w="100" w:type="dxa"/>
              <w:left w:w="100" w:type="dxa"/>
              <w:right w:w="100" w:type="dxa"/>
            </w:tcMar>
          </w:tcPr>
          <w:p>
            <w:r>
              <w:rPr>
                <w:rFonts w:ascii="Calibri" w:hAnsi="Calibri"/>
                <w:color w:val="1F2937"/>
                <w:sz w:val="19"/>
              </w:rPr>
              <w:t>1-Click Attendance &amp; Batch Grade Submission Portal.</w:t>
            </w:r>
          </w:p>
        </w:tc>
      </w:tr>
      <w:tr>
        <w:tc>
          <w:tcPr>
            <w:tcW w:type="dxa" w:w="1728"/>
            <w:tcMar>
              <w:top w:w="100" w:type="dxa"/>
              <w:bottom w:w="100" w:type="dxa"/>
              <w:left w:w="100" w:type="dxa"/>
              <w:right w:w="100" w:type="dxa"/>
            </w:tcMar>
          </w:tcPr>
          <w:p>
            <w:r>
              <w:rPr>
                <w:rFonts w:ascii="Calibri" w:hAnsi="Calibri"/>
                <w:color w:val="1F2937"/>
                <w:sz w:val="19"/>
              </w:rPr>
              <w:t>Sanjay Mehta</w:t>
            </w:r>
          </w:p>
        </w:tc>
        <w:tc>
          <w:tcPr>
            <w:tcW w:type="dxa" w:w="2160"/>
            <w:tcMar>
              <w:top w:w="100" w:type="dxa"/>
              <w:bottom w:w="100" w:type="dxa"/>
              <w:left w:w="100" w:type="dxa"/>
              <w:right w:w="100" w:type="dxa"/>
            </w:tcMar>
          </w:tcPr>
          <w:p>
            <w:r>
              <w:rPr>
                <w:rFonts w:ascii="Calibri" w:hAnsi="Calibri"/>
                <w:color w:val="1F2937"/>
                <w:sz w:val="19"/>
              </w:rPr>
              <w:t>Academic Registrar</w:t>
            </w:r>
          </w:p>
        </w:tc>
        <w:tc>
          <w:tcPr>
            <w:tcW w:type="dxa" w:w="2880"/>
            <w:tcMar>
              <w:top w:w="100" w:type="dxa"/>
              <w:bottom w:w="100" w:type="dxa"/>
              <w:left w:w="100" w:type="dxa"/>
              <w:right w:w="100" w:type="dxa"/>
            </w:tcMar>
          </w:tcPr>
          <w:p>
            <w:r>
              <w:rPr>
                <w:rFonts w:ascii="Calibri" w:hAnsi="Calibri"/>
                <w:color w:val="1F2937"/>
                <w:sz w:val="19"/>
              </w:rPr>
              <w:t>Inconsistent records, manual transcript generation, audit risks.</w:t>
            </w:r>
          </w:p>
        </w:tc>
        <w:tc>
          <w:tcPr>
            <w:tcW w:type="dxa" w:w="2592"/>
            <w:tcMar>
              <w:top w:w="100" w:type="dxa"/>
              <w:bottom w:w="100" w:type="dxa"/>
              <w:left w:w="100" w:type="dxa"/>
              <w:right w:w="100" w:type="dxa"/>
            </w:tcMar>
          </w:tcPr>
          <w:p>
            <w:r>
              <w:rPr>
                <w:rFonts w:ascii="Calibri" w:hAnsi="Calibri"/>
                <w:color w:val="1F2937"/>
                <w:sz w:val="19"/>
              </w:rPr>
              <w:t>Centralized Registrar Dashboard &amp; Automated Transcript Engine.</w:t>
            </w:r>
          </w:p>
        </w:tc>
      </w:tr>
    </w:tbl>
    <w:p>
      <w:pPr>
        <w:spacing w:after="120"/>
      </w:pPr>
    </w:p>
    <w:p>
      <w:pPr>
        <w:keepNext/>
        <w:spacing w:before="360" w:after="120"/>
      </w:pPr>
      <w:r>
        <w:rPr>
          <w:rFonts w:ascii="Calibri" w:hAnsi="Calibri"/>
          <w:b/>
          <w:color w:val="1A365D"/>
          <w:sz w:val="36"/>
        </w:rPr>
        <w:t>6. Requirements Engineering Specification</w:t>
      </w:r>
    </w:p>
    <w:p>
      <w:pPr>
        <w:spacing w:before="0" w:after="120" w:line="276" w:lineRule="auto"/>
      </w:pPr>
      <w:r>
        <w:rPr>
          <w:rFonts w:ascii="Calibri" w:hAnsi="Calibri"/>
          <w:color w:val="1F2937"/>
          <w:sz w:val="22"/>
        </w:rPr>
        <w:t>The functional and non-functional requirements define the explicit operational boundaries and technical benchmarks for the AcademicX platform.</w:t>
      </w:r>
    </w:p>
    <w:p>
      <w:pPr>
        <w:keepNext/>
        <w:spacing w:before="280" w:after="80"/>
      </w:pPr>
      <w:r>
        <w:rPr>
          <w:rFonts w:ascii="Calibri" w:hAnsi="Calibri"/>
          <w:b/>
          <w:color w:val="0D9488"/>
          <w:sz w:val="28"/>
        </w:rPr>
        <w:t>6.1 Functional Requirements Specification (FRS)</w:t>
      </w:r>
    </w:p>
    <w:p>
      <w:pPr>
        <w:pStyle w:val="ListBullet"/>
        <w:spacing w:before="0" w:after="60" w:line="276" w:lineRule="auto"/>
      </w:pPr>
      <w:r>
        <w:rPr>
          <w:rFonts w:ascii="Calibri" w:hAnsi="Calibri"/>
          <w:b/>
          <w:color w:val="1F2937"/>
          <w:sz w:val="22"/>
        </w:rPr>
        <w:t xml:space="preserve">FR-01 Authentication &amp; RBAC: </w:t>
      </w:r>
      <w:r>
        <w:rPr>
          <w:rFonts w:ascii="Calibri" w:hAnsi="Calibri"/>
          <w:color w:val="1F2937"/>
          <w:sz w:val="22"/>
        </w:rPr>
        <w:t>Role-based access control (RBAC) supporting Student, Faculty, Registrar, and Admin roles.</w:t>
      </w:r>
    </w:p>
    <w:p>
      <w:pPr>
        <w:pStyle w:val="ListBullet"/>
        <w:spacing w:before="0" w:after="60" w:line="276" w:lineRule="auto"/>
      </w:pPr>
      <w:r>
        <w:rPr>
          <w:rFonts w:ascii="Calibri" w:hAnsi="Calibri"/>
          <w:b/>
          <w:color w:val="1F2937"/>
          <w:sz w:val="22"/>
        </w:rPr>
        <w:t xml:space="preserve">FR-02 Student Profile Engine: </w:t>
      </w:r>
      <w:r>
        <w:rPr>
          <w:rFonts w:ascii="Calibri" w:hAnsi="Calibri"/>
          <w:color w:val="1F2937"/>
          <w:sz w:val="22"/>
        </w:rPr>
        <w:t>Student lifecycle data, profile management, document attachment, and status tracking.</w:t>
      </w:r>
    </w:p>
    <w:p>
      <w:pPr>
        <w:pStyle w:val="ListBullet"/>
        <w:spacing w:before="0" w:after="60" w:line="276" w:lineRule="auto"/>
      </w:pPr>
      <w:r>
        <w:rPr>
          <w:rFonts w:ascii="Calibri" w:hAnsi="Calibri"/>
          <w:b/>
          <w:color w:val="1F2937"/>
          <w:sz w:val="22"/>
        </w:rPr>
        <w:t xml:space="preserve">FR-03 Course Registration: </w:t>
      </w:r>
      <w:r>
        <w:rPr>
          <w:rFonts w:ascii="Calibri" w:hAnsi="Calibri"/>
          <w:color w:val="1F2937"/>
          <w:sz w:val="22"/>
        </w:rPr>
        <w:t>Dynamic course offerings, prerequisite checking, capacity allocation, and enrollment.</w:t>
      </w:r>
    </w:p>
    <w:p>
      <w:pPr>
        <w:pStyle w:val="ListBullet"/>
        <w:spacing w:before="0" w:after="60" w:line="276" w:lineRule="auto"/>
      </w:pPr>
      <w:r>
        <w:rPr>
          <w:rFonts w:ascii="Calibri" w:hAnsi="Calibri"/>
          <w:b/>
          <w:color w:val="1F2937"/>
          <w:sz w:val="22"/>
        </w:rPr>
        <w:t xml:space="preserve">FR-04 Attendance Management: </w:t>
      </w:r>
      <w:r>
        <w:rPr>
          <w:rFonts w:ascii="Calibri" w:hAnsi="Calibri"/>
          <w:color w:val="1F2937"/>
          <w:sz w:val="22"/>
        </w:rPr>
        <w:t>Session-level attendance logging, threshold alerts, and automated absence reports.</w:t>
      </w:r>
    </w:p>
    <w:p>
      <w:pPr>
        <w:pStyle w:val="ListBullet"/>
        <w:spacing w:before="0" w:after="60" w:line="276" w:lineRule="auto"/>
      </w:pPr>
      <w:r>
        <w:rPr>
          <w:rFonts w:ascii="Calibri" w:hAnsi="Calibri"/>
          <w:b/>
          <w:color w:val="1F2937"/>
          <w:sz w:val="22"/>
        </w:rPr>
        <w:t xml:space="preserve">FR-05 Grading &amp; Examinations: </w:t>
      </w:r>
      <w:r>
        <w:rPr>
          <w:rFonts w:ascii="Calibri" w:hAnsi="Calibri"/>
          <w:color w:val="1F2937"/>
          <w:sz w:val="22"/>
        </w:rPr>
        <w:t>Internal mark entry, GPA/CGPA calculation engine, and automated transcript generation.</w:t>
      </w:r>
    </w:p>
    <w:p>
      <w:pPr>
        <w:keepNext/>
        <w:spacing w:before="280" w:after="80"/>
      </w:pPr>
      <w:r>
        <w:rPr>
          <w:rFonts w:ascii="Calibri" w:hAnsi="Calibri"/>
          <w:b/>
          <w:color w:val="0D9488"/>
          <w:sz w:val="28"/>
        </w:rPr>
        <w:t>6.2 Non-Functional Requirements Specification (NFRS)</w:t>
      </w:r>
    </w:p>
    <w:p>
      <w:pPr>
        <w:pStyle w:val="ListBullet"/>
        <w:spacing w:before="0" w:after="60" w:line="276" w:lineRule="auto"/>
      </w:pPr>
      <w:r>
        <w:rPr>
          <w:rFonts w:ascii="Calibri" w:hAnsi="Calibri"/>
          <w:b/>
          <w:color w:val="1F2937"/>
          <w:sz w:val="22"/>
        </w:rPr>
        <w:t xml:space="preserve">NFR-01 Security &amp; Privacy: </w:t>
      </w:r>
      <w:r>
        <w:rPr>
          <w:rFonts w:ascii="Calibri" w:hAnsi="Calibri"/>
          <w:color w:val="1F2937"/>
          <w:sz w:val="22"/>
        </w:rPr>
        <w:t>Bcrypt password hashing, JWT session handling, TLS 1.3 encryption, and OWASP compliance.</w:t>
      </w:r>
    </w:p>
    <w:p>
      <w:pPr>
        <w:pStyle w:val="ListBullet"/>
        <w:spacing w:before="0" w:after="60" w:line="276" w:lineRule="auto"/>
      </w:pPr>
      <w:r>
        <w:rPr>
          <w:rFonts w:ascii="Calibri" w:hAnsi="Calibri"/>
          <w:b/>
          <w:color w:val="1F2937"/>
          <w:sz w:val="22"/>
        </w:rPr>
        <w:t xml:space="preserve">NFR-02 System Performance: </w:t>
      </w:r>
      <w:r>
        <w:rPr>
          <w:rFonts w:ascii="Calibri" w:hAnsi="Calibri"/>
          <w:color w:val="1F2937"/>
          <w:sz w:val="22"/>
        </w:rPr>
        <w:t>Sub-500ms API response time under 1,000 concurrent active user sessions.</w:t>
      </w:r>
    </w:p>
    <w:p>
      <w:pPr>
        <w:pStyle w:val="ListBullet"/>
        <w:spacing w:before="0" w:after="60" w:line="276" w:lineRule="auto"/>
      </w:pPr>
      <w:r>
        <w:rPr>
          <w:rFonts w:ascii="Calibri" w:hAnsi="Calibri"/>
          <w:b/>
          <w:color w:val="1F2937"/>
          <w:sz w:val="22"/>
        </w:rPr>
        <w:t xml:space="preserve">NFR-03 Availability &amp; SLA: </w:t>
      </w:r>
      <w:r>
        <w:rPr>
          <w:rFonts w:ascii="Calibri" w:hAnsi="Calibri"/>
          <w:color w:val="1F2937"/>
          <w:sz w:val="22"/>
        </w:rPr>
        <w:t>Cloud-native containerized architecture targeting 99.9% operational uptime.</w:t>
      </w:r>
    </w:p>
    <w:p>
      <w:pPr>
        <w:pStyle w:val="ListBullet"/>
        <w:spacing w:before="0" w:after="60" w:line="276" w:lineRule="auto"/>
      </w:pPr>
      <w:r>
        <w:rPr>
          <w:rFonts w:ascii="Calibri" w:hAnsi="Calibri"/>
          <w:b/>
          <w:color w:val="1F2937"/>
          <w:sz w:val="22"/>
        </w:rPr>
        <w:t xml:space="preserve">NFR-04 Scalability: </w:t>
      </w:r>
      <w:r>
        <w:rPr>
          <w:rFonts w:ascii="Calibri" w:hAnsi="Calibri"/>
          <w:color w:val="1F2937"/>
          <w:sz w:val="22"/>
        </w:rPr>
        <w:t>Horizontal scaling capability via Kubernetes auto-scaling during peak registration windows.</w:t>
      </w:r>
    </w:p>
    <w:p>
      <w:pPr>
        <w:keepNext/>
        <w:spacing w:before="360" w:after="120"/>
      </w:pPr>
      <w:r>
        <w:rPr>
          <w:rFonts w:ascii="Calibri" w:hAnsi="Calibri"/>
          <w:b/>
          <w:color w:val="1A365D"/>
          <w:sz w:val="36"/>
        </w:rPr>
        <w:t>7. Product Vision &amp; Minimum Viable Product (MVP)</w:t>
      </w:r>
    </w:p>
    <w:p>
      <w:pPr>
        <w:spacing w:before="0" w:after="120" w:line="276" w:lineRule="auto"/>
      </w:pPr>
      <w:r>
        <w:rPr>
          <w:rFonts w:ascii="Calibri" w:hAnsi="Calibri"/>
          <w:color w:val="1F2937"/>
          <w:sz w:val="22"/>
        </w:rPr>
        <w:t>The product vision establishes the long-term engineering trajectory, while the Minimum Viable Product (MVP) scope isolates high-value features for initial Sprint execution.</w:t>
      </w:r>
    </w:p>
    <w:p>
      <w:pPr>
        <w:keepNext/>
        <w:spacing w:before="280" w:after="80"/>
      </w:pPr>
      <w:r>
        <w:rPr>
          <w:rFonts w:ascii="Calibri" w:hAnsi="Calibri"/>
          <w:b/>
          <w:color w:val="0D9488"/>
          <w:sz w:val="28"/>
        </w:rPr>
        <w:t>7.1 MVP Feature Matrix Scope</w:t>
      </w:r>
    </w:p>
    <w:p>
      <w:pPr>
        <w:pStyle w:val="ListBullet"/>
        <w:spacing w:before="0" w:after="60" w:line="276" w:lineRule="auto"/>
      </w:pPr>
      <w:r>
        <w:rPr>
          <w:rFonts w:ascii="Calibri" w:hAnsi="Calibri"/>
          <w:b/>
          <w:color w:val="1F2937"/>
          <w:sz w:val="22"/>
        </w:rPr>
        <w:t xml:space="preserve">Included in MVP (Sprint 1 - 4): </w:t>
      </w:r>
      <w:r>
        <w:rPr>
          <w:rFonts w:ascii="Calibri" w:hAnsi="Calibri"/>
          <w:color w:val="1F2937"/>
          <w:sz w:val="22"/>
        </w:rPr>
        <w:t>User Authentication, Role Management, Student Profile CRUD, Basic Course Registration, Digital Attendance Entry, GPA Calculation Engine, PDF Transcript Export.</w:t>
      </w:r>
    </w:p>
    <w:p>
      <w:pPr>
        <w:pStyle w:val="ListBullet"/>
        <w:spacing w:before="0" w:after="60" w:line="276" w:lineRule="auto"/>
      </w:pPr>
      <w:r>
        <w:rPr>
          <w:rFonts w:ascii="Calibri" w:hAnsi="Calibri"/>
          <w:b/>
          <w:color w:val="1F2937"/>
          <w:sz w:val="22"/>
        </w:rPr>
        <w:t xml:space="preserve">Deferred to Future Release: </w:t>
      </w:r>
      <w:r>
        <w:rPr>
          <w:rFonts w:ascii="Calibri" w:hAnsi="Calibri"/>
          <w:color w:val="1F2937"/>
          <w:sz w:val="22"/>
        </w:rPr>
        <w:t>AI-based predictive drop-out analytics, SMS gateway integration, automated alumni portal, payment gateway integration for tuition fees.</w:t>
      </w:r>
    </w:p>
    <w:p>
      <w:pPr>
        <w:keepNext/>
        <w:spacing w:before="360" w:after="120"/>
      </w:pPr>
      <w:r>
        <w:rPr>
          <w:rFonts w:ascii="Calibri" w:hAnsi="Calibri"/>
          <w:b/>
          <w:color w:val="1A365D"/>
          <w:sz w:val="36"/>
        </w:rPr>
        <w:t>8. System Architecture &amp; Repository Structure</w:t>
      </w:r>
    </w:p>
    <w:p>
      <w:pPr>
        <w:spacing w:before="0" w:after="120" w:line="276" w:lineRule="auto"/>
      </w:pPr>
      <w:r>
        <w:rPr>
          <w:rFonts w:ascii="Calibri" w:hAnsi="Calibri"/>
          <w:color w:val="1F2937"/>
          <w:sz w:val="22"/>
        </w:rPr>
        <w:t>AcademicX follows a modern microservices-ready multi-tier architecture, maintaining strict separation of concerns across presentation, application, database, and infrastructure automation layers.</w:t>
      </w:r>
    </w:p>
    <w:p>
      <w:pPr>
        <w:keepNext/>
        <w:spacing w:before="280" w:after="80"/>
      </w:pPr>
      <w:r>
        <w:rPr>
          <w:rFonts w:ascii="Calibri" w:hAnsi="Calibri"/>
          <w:b/>
          <w:color w:val="0D9488"/>
          <w:sz w:val="28"/>
        </w:rPr>
        <w:t>8.1 Enterprise Repository Folder Architecture</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none"/>
              <w:left w:val="single" w:sz="24" w:space="0" w:color="1A365D"/>
              <w:bottom w:val="none"/>
              <w:right w:val="none"/>
            </w:tcBorders>
          </w:tcPr>
          <w:p>
            <w:pPr>
              <w:spacing w:before="40" w:after="40" w:line="276" w:lineRule="auto"/>
            </w:pPr>
            <w:r>
              <w:rPr>
                <w:rFonts w:ascii="Calibri" w:hAnsi="Calibri"/>
                <w:b/>
                <w:color w:val="1A365D"/>
                <w:sz w:val="22"/>
              </w:rPr>
              <w:t>Standardized Project Repository Tree</w:t>
              <w:br/>
            </w:r>
            <w:r>
              <w:rPr>
                <w:rFonts w:ascii="Calibri" w:hAnsi="Calibri"/>
                <w:i/>
                <w:color w:val="1F2937"/>
                <w:sz w:val="21"/>
              </w:rPr>
              <w:t>academicx-platform/</w:t>
              <w:br/>
              <w:t>├── .github/              # CI/CD Workflows (GitHub Actions)</w:t>
              <w:br/>
              <w:t>├── app/                  # Core Application Source Code</w:t>
              <w:br/>
              <w:t>│   ├── api/              # RESTful API Endpoints &amp; Routers</w:t>
              <w:br/>
              <w:t>│   ├── modules/          # Business Logic (Students, Courses, Attendance, Grades)</w:t>
              <w:br/>
              <w:t>│   ├── database/         # Schemas, Migrations, &amp; ORM Models</w:t>
              <w:br/>
              <w:t>│   └── tests/            # Automated Unit &amp; Integration Test Suites</w:t>
              <w:br/>
              <w:t>├── docs/                 # Architecture Specs, Wireframes, FRS/NFRS</w:t>
              <w:br/>
              <w:t>├── docker/               # Dockerfiles &amp; Multi-Container Compose Setup</w:t>
              <w:br/>
              <w:t>├── kubernetes/           # K8s Manifests (Deployments, Services, Ingress)</w:t>
              <w:br/>
              <w:t>├── terraform/            # Cloud Infrastructure Provisioning Scripts</w:t>
              <w:br/>
              <w:t>├── ansible/              # Configuration Management Playbooks</w:t>
              <w:br/>
              <w:t>├── monitoring/           # Prometheus &amp; Grafana Dashboard Configurations</w:t>
              <w:br/>
              <w:t>└── README.md             # Developer Onboarding &amp; Project Setup Guide</w:t>
            </w:r>
          </w:p>
        </w:tc>
      </w:tr>
    </w:tbl>
    <w:p>
      <w:pPr>
        <w:spacing w:before="0" w:after="120"/>
      </w:pPr>
    </w:p>
    <w:p>
      <w:pPr>
        <w:keepNext/>
        <w:spacing w:before="360" w:after="120"/>
      </w:pPr>
      <w:r>
        <w:rPr>
          <w:rFonts w:ascii="Calibri" w:hAnsi="Calibri"/>
          <w:b/>
          <w:color w:val="1A365D"/>
          <w:sz w:val="36"/>
        </w:rPr>
        <w:t>9. Enterprise Roadmap &amp; Execution Plan</w:t>
      </w:r>
    </w:p>
    <w:p>
      <w:pPr>
        <w:spacing w:before="0" w:after="120" w:line="276" w:lineRule="auto"/>
      </w:pPr>
      <w:r>
        <w:rPr>
          <w:rFonts w:ascii="Calibri" w:hAnsi="Calibri"/>
          <w:color w:val="1F2937"/>
          <w:sz w:val="22"/>
        </w:rPr>
        <w:t>The implementation strategy is structured across seven sequential engineering phases aligned with modern DevOps practices.</w:t>
      </w:r>
    </w:p>
    <w:p>
      <w:pPr>
        <w:pStyle w:val="ListBullet"/>
        <w:spacing w:before="0" w:after="60" w:line="276" w:lineRule="auto"/>
      </w:pPr>
      <w:r>
        <w:rPr>
          <w:rFonts w:ascii="Calibri" w:hAnsi="Calibri"/>
          <w:b/>
          <w:color w:val="1F2937"/>
          <w:sz w:val="22"/>
        </w:rPr>
        <w:t xml:space="preserve">Phase 1: </w:t>
      </w:r>
      <w:r>
        <w:rPr>
          <w:rFonts w:ascii="Calibri" w:hAnsi="Calibri"/>
          <w:color w:val="1F2937"/>
          <w:sz w:val="22"/>
        </w:rPr>
        <w:t>Domain Analysis &amp; Stakeholder Requirements Gathering</w:t>
      </w:r>
    </w:p>
    <w:p>
      <w:pPr>
        <w:pStyle w:val="ListBullet"/>
        <w:spacing w:before="0" w:after="60" w:line="276" w:lineRule="auto"/>
      </w:pPr>
      <w:r>
        <w:rPr>
          <w:rFonts w:ascii="Calibri" w:hAnsi="Calibri"/>
          <w:b/>
          <w:color w:val="1F2937"/>
          <w:sz w:val="22"/>
        </w:rPr>
        <w:t xml:space="preserve">Phase 2: </w:t>
      </w:r>
      <w:r>
        <w:rPr>
          <w:rFonts w:ascii="Calibri" w:hAnsi="Calibri"/>
          <w:color w:val="1F2937"/>
          <w:sz w:val="22"/>
        </w:rPr>
        <w:t>Design Thinking, Prototyping &amp; UX Usability Validation</w:t>
      </w:r>
    </w:p>
    <w:p>
      <w:pPr>
        <w:pStyle w:val="ListBullet"/>
        <w:spacing w:before="0" w:after="60" w:line="276" w:lineRule="auto"/>
      </w:pPr>
      <w:r>
        <w:rPr>
          <w:rFonts w:ascii="Calibri" w:hAnsi="Calibri"/>
          <w:b/>
          <w:color w:val="1F2937"/>
          <w:sz w:val="22"/>
        </w:rPr>
        <w:t xml:space="preserve">Phase 3: </w:t>
      </w:r>
      <w:r>
        <w:rPr>
          <w:rFonts w:ascii="Calibri" w:hAnsi="Calibri"/>
          <w:color w:val="1F2937"/>
          <w:sz w:val="22"/>
        </w:rPr>
        <w:t>Agile Backlog Grooming &amp; Sprint Planning</w:t>
      </w:r>
    </w:p>
    <w:p>
      <w:pPr>
        <w:pStyle w:val="ListBullet"/>
        <w:spacing w:before="0" w:after="60" w:line="276" w:lineRule="auto"/>
      </w:pPr>
      <w:r>
        <w:rPr>
          <w:rFonts w:ascii="Calibri" w:hAnsi="Calibri"/>
          <w:b/>
          <w:color w:val="1F2937"/>
          <w:sz w:val="22"/>
        </w:rPr>
        <w:t xml:space="preserve">Phase 4: </w:t>
      </w:r>
      <w:r>
        <w:rPr>
          <w:rFonts w:ascii="Calibri" w:hAnsi="Calibri"/>
          <w:color w:val="1F2937"/>
          <w:sz w:val="22"/>
        </w:rPr>
        <w:t>Backend Services &amp; Frontend Portal Implementation</w:t>
      </w:r>
    </w:p>
    <w:p>
      <w:pPr>
        <w:pStyle w:val="ListBullet"/>
        <w:spacing w:before="0" w:after="60" w:line="276" w:lineRule="auto"/>
      </w:pPr>
      <w:r>
        <w:rPr>
          <w:rFonts w:ascii="Calibri" w:hAnsi="Calibri"/>
          <w:b/>
          <w:color w:val="1F2937"/>
          <w:sz w:val="22"/>
        </w:rPr>
        <w:t xml:space="preserve">Phase 5: </w:t>
      </w:r>
      <w:r>
        <w:rPr>
          <w:rFonts w:ascii="Calibri" w:hAnsi="Calibri"/>
          <w:color w:val="1F2937"/>
          <w:sz w:val="22"/>
        </w:rPr>
        <w:t>CI/CD Pipeline Automation &amp; Automated Testing Integration</w:t>
      </w:r>
    </w:p>
    <w:p>
      <w:pPr>
        <w:pStyle w:val="ListBullet"/>
        <w:spacing w:before="0" w:after="60" w:line="276" w:lineRule="auto"/>
      </w:pPr>
      <w:r>
        <w:rPr>
          <w:rFonts w:ascii="Calibri" w:hAnsi="Calibri"/>
          <w:b/>
          <w:color w:val="1F2937"/>
          <w:sz w:val="22"/>
        </w:rPr>
        <w:t xml:space="preserve">Phase 6: </w:t>
      </w:r>
      <w:r>
        <w:rPr>
          <w:rFonts w:ascii="Calibri" w:hAnsi="Calibri"/>
          <w:color w:val="1F2937"/>
          <w:sz w:val="22"/>
        </w:rPr>
        <w:t>Infrastructure as Code (IaC) Provisioning via Terraform</w:t>
      </w:r>
    </w:p>
    <w:p>
      <w:pPr>
        <w:pStyle w:val="ListBullet"/>
        <w:spacing w:before="0" w:after="60" w:line="276" w:lineRule="auto"/>
      </w:pPr>
      <w:r>
        <w:rPr>
          <w:rFonts w:ascii="Calibri" w:hAnsi="Calibri"/>
          <w:b/>
          <w:color w:val="1F2937"/>
          <w:sz w:val="22"/>
        </w:rPr>
        <w:t xml:space="preserve">Phase 7: </w:t>
      </w:r>
      <w:r>
        <w:rPr>
          <w:rFonts w:ascii="Calibri" w:hAnsi="Calibri"/>
          <w:color w:val="1F2937"/>
          <w:sz w:val="22"/>
        </w:rPr>
        <w:t>Production Deployment, Observability &amp; Monitoring Setup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