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Household Spending Analytics</w:t>
      </w:r>
    </w:p>
    <w:p>
      <w:pPr>
        <w:jc w:val="center"/>
      </w:pPr>
      <w:r>
        <w:rPr>
          <w:i/>
        </w:rPr>
        <w:t>Test Cases, Verification Evidence, and Known Limitations</w:t>
      </w:r>
    </w:p>
    <w:p/>
    <w:p>
      <w:r>
        <w:t>Repository: https://github.com/mayurbarse/household-spending-analytics</w:t>
      </w:r>
    </w:p>
    <w:p>
      <w:r>
        <w:t>Purpose: This document describes the main behaviors to verify and the evidence recorded during development. The case descriptions are a readable test catalogue, not claimed to be verbatim names of individual pytest functions.</w:t>
      </w:r>
    </w:p>
    <w:p>
      <w:pPr>
        <w:pStyle w:val="Heading1"/>
      </w:pPr>
      <w:r>
        <w:t>1. Run the project</w:t>
      </w:r>
    </w:p>
    <w:p>
      <w:r>
        <w:t>Prerequisites: Git, a compatible Python version, and Node.js/npm.</w:t>
      </w:r>
    </w:p>
    <w:p>
      <w:r>
        <w:t>From the repository root, create the virtual environment, install dependencies, and start the API:</w:t>
      </w:r>
    </w:p>
    <w:p>
      <w:r>
        <w:rPr>
          <w:rFonts w:ascii="Consolas" w:hAnsi="Consolas"/>
        </w:rPr>
        <w:t>python -m venv .venv</w:t>
      </w:r>
    </w:p>
    <w:p>
      <w:r>
        <w:rPr>
          <w:rFonts w:ascii="Consolas" w:hAnsi="Consolas"/>
        </w:rPr>
        <w:t>.venv\Scripts\Activate.ps1</w:t>
      </w:r>
    </w:p>
    <w:p>
      <w:r>
        <w:rPr>
          <w:rFonts w:ascii="Consolas" w:hAnsi="Consolas"/>
        </w:rPr>
        <w:t>pip install -r requirements.txt</w:t>
      </w:r>
    </w:p>
    <w:p>
      <w:r>
        <w:rPr>
          <w:rFonts w:ascii="Consolas" w:hAnsi="Consolas"/>
        </w:rPr>
        <w:t>uvicorn src.api:app --reload</w:t>
      </w:r>
    </w:p>
    <w:p>
      <w:r>
        <w:t>In a second terminal:</w:t>
      </w:r>
    </w:p>
    <w:p>
      <w:r>
        <w:rPr>
          <w:rFonts w:ascii="Consolas" w:hAnsi="Consolas"/>
        </w:rPr>
        <w:t>cd frontend</w:t>
      </w:r>
    </w:p>
    <w:p>
      <w:r>
        <w:rPr>
          <w:rFonts w:ascii="Consolas" w:hAnsi="Consolas"/>
        </w:rPr>
        <w:t>npm install</w:t>
      </w:r>
    </w:p>
    <w:p>
      <w:r>
        <w:rPr>
          <w:rFonts w:ascii="Consolas" w:hAnsi="Consolas"/>
        </w:rPr>
        <w:t>npm run dev</w:t>
      </w:r>
    </w:p>
    <w:p>
      <w:r>
        <w:t>Open the Vite URL printed in the terminal (usually http://localhost:5173). The API is usually at http://127.0.0.1:8000 and interactive API documentation at /docs. If the repository's README or dependency files specify different commands or versions, follow those.</w:t>
      </w:r>
    </w:p>
    <w:p>
      <w:pPr>
        <w:pStyle w:val="Heading1"/>
      </w:pPr>
      <w:r>
        <w:t>2. Automated verification recorded</w:t>
      </w:r>
    </w:p>
    <w:p>
      <w:r>
        <w:t>Backend tests: python -m pytest tests/ -q</w:t>
      </w:r>
    </w:p>
    <w:p>
      <w:r>
        <w:t>Recorded result: 63 tests passed, 8 warnings, approximately 24.33 seconds. Warnings included a Starlette/httpx TestClient deprecation notice and a Pandas deprecation warning for the inplace argument to DataFrame.drop in src/anomaly_detection.py.</w:t>
      </w:r>
    </w:p>
    <w:p>
      <w:r>
        <w:t>Frontend build: npm --prefix frontend run build</w:t>
      </w:r>
    </w:p>
    <w:p>
      <w:r>
        <w:t>Recorded result: build passed with Vite 8.3.5 in approximately 861 ms.</w:t>
      </w:r>
    </w:p>
    <w:p>
      <w:pPr>
        <w:pStyle w:val="Heading1"/>
      </w:pPr>
      <w:r>
        <w:t>3. Test case catalogue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Procedure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Expected result / recorded evidence</w:t>
            </w:r>
          </w:p>
        </w:tc>
      </w:tr>
      <w:tr>
        <w:tc>
          <w:tcPr>
            <w:tcW w:type="dxa" w:w="2592"/>
          </w:tcPr>
          <w:p>
            <w:r>
              <w:t>TC-01</w:t>
            </w:r>
          </w:p>
        </w:tc>
        <w:tc>
          <w:tcPr>
            <w:tcW w:type="dxa" w:w="2592"/>
          </w:tcPr>
          <w:p>
            <w:r>
              <w:t>Transaction loading</w:t>
            </w:r>
          </w:p>
        </w:tc>
        <w:tc>
          <w:tcPr>
            <w:tcW w:type="dxa" w:w="2592"/>
          </w:tcPr>
          <w:p>
            <w:r>
              <w:t>Load default transaction data.</w:t>
            </w:r>
          </w:p>
        </w:tc>
        <w:tc>
          <w:tcPr>
            <w:tcW w:type="dxa" w:w="2592"/>
          </w:tcPr>
          <w:p>
            <w:r>
              <w:t>A DataFrame with expected transaction fields and usable values is returned.</w:t>
            </w:r>
          </w:p>
        </w:tc>
      </w:tr>
      <w:tr>
        <w:tc>
          <w:tcPr>
            <w:tcW w:type="dxa" w:w="2592"/>
          </w:tcPr>
          <w:p>
            <w:r>
              <w:t>TC-02</w:t>
            </w:r>
          </w:p>
        </w:tc>
        <w:tc>
          <w:tcPr>
            <w:tcW w:type="dxa" w:w="2592"/>
          </w:tcPr>
          <w:p>
            <w:r>
              <w:t>Cache isolation</w:t>
            </w:r>
          </w:p>
        </w:tc>
        <w:tc>
          <w:tcPr>
            <w:tcW w:type="dxa" w:w="2592"/>
          </w:tcPr>
          <w:p>
            <w:r>
              <w:t>Load default data repeatedly and mutate one returned object.</w:t>
            </w:r>
          </w:p>
        </w:tc>
        <w:tc>
          <w:tcPr>
            <w:tcW w:type="dxa" w:w="2592"/>
          </w:tcPr>
          <w:p>
            <w:r>
              <w:t>Callers receive copies; mutations do not leak into later calls.</w:t>
            </w:r>
          </w:p>
        </w:tc>
      </w:tr>
      <w:tr>
        <w:tc>
          <w:tcPr>
            <w:tcW w:type="dxa" w:w="2592"/>
          </w:tcPr>
          <w:p>
            <w:r>
              <w:t>TC-03</w:t>
            </w:r>
          </w:p>
        </w:tc>
        <w:tc>
          <w:tcPr>
            <w:tcW w:type="dxa" w:w="2592"/>
          </w:tcPr>
          <w:p>
            <w:r>
              <w:t>Custom data path</w:t>
            </w:r>
          </w:p>
        </w:tc>
        <w:tc>
          <w:tcPr>
            <w:tcW w:type="dxa" w:w="2592"/>
          </w:tcPr>
          <w:p>
            <w:r>
              <w:t>Load data using a custom db_path.</w:t>
            </w:r>
          </w:p>
        </w:tc>
        <w:tc>
          <w:tcPr>
            <w:tcW w:type="dxa" w:w="2592"/>
          </w:tcPr>
          <w:p>
            <w:r>
              <w:t>Custom path is handled separately from the default cached dataset.</w:t>
            </w:r>
          </w:p>
        </w:tc>
      </w:tr>
      <w:tr>
        <w:tc>
          <w:tcPr>
            <w:tcW w:type="dxa" w:w="2592"/>
          </w:tcPr>
          <w:p>
            <w:r>
              <w:t>TC-04</w:t>
            </w:r>
          </w:p>
        </w:tc>
        <w:tc>
          <w:tcPr>
            <w:tcW w:type="dxa" w:w="2592"/>
          </w:tcPr>
          <w:p>
            <w:r>
              <w:t>Cache clearing</w:t>
            </w:r>
          </w:p>
        </w:tc>
        <w:tc>
          <w:tcPr>
            <w:tcW w:type="dxa" w:w="2592"/>
          </w:tcPr>
          <w:p>
            <w:r>
              <w:t>Call clear_transaction_cache() and reload.</w:t>
            </w:r>
          </w:p>
        </w:tc>
        <w:tc>
          <w:tcPr>
            <w:tcW w:type="dxa" w:w="2592"/>
          </w:tcPr>
          <w:p>
            <w:r>
              <w:t>Cached state is cleared and default data can be refreshed.</w:t>
            </w:r>
          </w:p>
        </w:tc>
      </w:tr>
      <w:tr>
        <w:tc>
          <w:tcPr>
            <w:tcW w:type="dxa" w:w="2592"/>
          </w:tcPr>
          <w:p>
            <w:r>
              <w:t>TC-05</w:t>
            </w:r>
          </w:p>
        </w:tc>
        <w:tc>
          <w:tcPr>
            <w:tcW w:type="dxa" w:w="2592"/>
          </w:tcPr>
          <w:p>
            <w:r>
              <w:t>Expense/refund accounting</w:t>
            </w:r>
          </w:p>
        </w:tc>
        <w:tc>
          <w:tcPr>
            <w:tcW w:type="dxa" w:w="2592"/>
          </w:tcPr>
          <w:p>
            <w:r>
              <w:t>Aggregate expense and refund records.</w:t>
            </w:r>
          </w:p>
        </w:tc>
        <w:tc>
          <w:tcPr>
            <w:tcW w:type="dxa" w:w="2592"/>
          </w:tcPr>
          <w:p>
            <w:r>
              <w:t>Gross expenses, refunds, and net spending follow the project's transaction rules.</w:t>
            </w:r>
          </w:p>
        </w:tc>
      </w:tr>
      <w:tr>
        <w:tc>
          <w:tcPr>
            <w:tcW w:type="dxa" w:w="2592"/>
          </w:tcPr>
          <w:p>
            <w:r>
              <w:t>TC-06</w:t>
            </w:r>
          </w:p>
        </w:tc>
        <w:tc>
          <w:tcPr>
            <w:tcW w:type="dxa" w:w="2592"/>
          </w:tcPr>
          <w:p>
            <w:r>
              <w:t>Monthly trend</w:t>
            </w:r>
          </w:p>
        </w:tc>
        <w:tc>
          <w:tcPr>
            <w:tcW w:type="dxa" w:w="2592"/>
          </w:tcPr>
          <w:p>
            <w:r>
              <w:t>Group transactions by calendar month.</w:t>
            </w:r>
          </w:p>
        </w:tc>
        <w:tc>
          <w:tcPr>
            <w:tcW w:type="dxa" w:w="2592"/>
          </w:tcPr>
          <w:p>
            <w:r>
              <w:t>Monthly totals and labels match the source data.</w:t>
            </w:r>
          </w:p>
        </w:tc>
      </w:tr>
      <w:tr>
        <w:tc>
          <w:tcPr>
            <w:tcW w:type="dxa" w:w="2592"/>
          </w:tcPr>
          <w:p>
            <w:r>
              <w:t>TC-07</w:t>
            </w:r>
          </w:p>
        </w:tc>
        <w:tc>
          <w:tcPr>
            <w:tcW w:type="dxa" w:w="2592"/>
          </w:tcPr>
          <w:p>
            <w:r>
              <w:t>Annual trend</w:t>
            </w:r>
          </w:p>
        </w:tc>
        <w:tc>
          <w:tcPr>
            <w:tcW w:type="dxa" w:w="2592"/>
          </w:tcPr>
          <w:p>
            <w:r>
              <w:t>Group transactions by year.</w:t>
            </w:r>
          </w:p>
        </w:tc>
        <w:tc>
          <w:tcPr>
            <w:tcW w:type="dxa" w:w="2592"/>
          </w:tcPr>
          <w:p>
            <w:r>
              <w:t>Annual totals agree with the underlying records.</w:t>
            </w:r>
          </w:p>
        </w:tc>
      </w:tr>
      <w:tr>
        <w:tc>
          <w:tcPr>
            <w:tcW w:type="dxa" w:w="2592"/>
          </w:tcPr>
          <w:p>
            <w:r>
              <w:t>TC-08</w:t>
            </w:r>
          </w:p>
        </w:tc>
        <w:tc>
          <w:tcPr>
            <w:tcW w:type="dxa" w:w="2592"/>
          </w:tcPr>
          <w:p>
            <w:r>
              <w:t>Budget comparison</w:t>
            </w:r>
          </w:p>
        </w:tc>
        <w:tc>
          <w:tcPr>
            <w:tcW w:type="dxa" w:w="2592"/>
          </w:tcPr>
          <w:p>
            <w:r>
              <w:t>Compare actual spending with configured budgets.</w:t>
            </w:r>
          </w:p>
        </w:tc>
        <w:tc>
          <w:tcPr>
            <w:tcW w:type="dxa" w:w="2592"/>
          </w:tcPr>
          <w:p>
            <w:r>
              <w:t>Budget, actual, variance/status fields are available for display.</w:t>
            </w:r>
          </w:p>
        </w:tc>
      </w:tr>
      <w:tr>
        <w:tc>
          <w:tcPr>
            <w:tcW w:type="dxa" w:w="2592"/>
          </w:tcPr>
          <w:p>
            <w:r>
              <w:t>TC-09</w:t>
            </w:r>
          </w:p>
        </w:tc>
        <w:tc>
          <w:tcPr>
            <w:tcW w:type="dxa" w:w="2592"/>
          </w:tcPr>
          <w:p>
            <w:r>
              <w:t>Budget user column</w:t>
            </w:r>
          </w:p>
        </w:tc>
        <w:tc>
          <w:tcPr>
            <w:tcW w:type="dxa" w:w="2592"/>
          </w:tcPr>
          <w:p>
            <w:r>
              <w:t>Render the budget table.</w:t>
            </w:r>
          </w:p>
        </w:tc>
        <w:tc>
          <w:tcPr>
            <w:tcW w:type="dxa" w:w="2592"/>
          </w:tcPr>
          <w:p>
            <w:r>
              <w:t>User is displayed against the correct budget row.</w:t>
            </w:r>
          </w:p>
        </w:tc>
      </w:tr>
      <w:tr>
        <w:tc>
          <w:tcPr>
            <w:tcW w:type="dxa" w:w="2592"/>
          </w:tcPr>
          <w:p>
            <w:r>
              <w:t>TC-10</w:t>
            </w:r>
          </w:p>
        </w:tc>
        <w:tc>
          <w:tcPr>
            <w:tcW w:type="dxa" w:w="2592"/>
          </w:tcPr>
          <w:p>
            <w:r>
              <w:t>Recurring detection</w:t>
            </w:r>
          </w:p>
        </w:tc>
        <w:tc>
          <w:tcPr>
            <w:tcW w:type="dxa" w:w="2592"/>
          </w:tcPr>
          <w:p>
            <w:r>
              <w:t>Run detect_recurring_payments().</w:t>
            </w:r>
          </w:p>
        </w:tc>
        <w:tc>
          <w:tcPr>
            <w:tcW w:type="dxa" w:w="2592"/>
          </w:tcPr>
          <w:p>
            <w:r>
              <w:t>Candidates are returned in the expected schema with recurring-related fields.</w:t>
            </w:r>
          </w:p>
        </w:tc>
      </w:tr>
      <w:tr>
        <w:tc>
          <w:tcPr>
            <w:tcW w:type="dxa" w:w="2592"/>
          </w:tcPr>
          <w:p>
            <w:r>
              <w:t>TC-11</w:t>
            </w:r>
          </w:p>
        </w:tc>
        <w:tc>
          <w:tcPr>
            <w:tcW w:type="dxa" w:w="2592"/>
          </w:tcPr>
          <w:p>
            <w:r>
              <w:t>Recurring baseline</w:t>
            </w:r>
          </w:p>
        </w:tc>
        <w:tc>
          <w:tcPr>
            <w:tcW w:type="dxa" w:w="2592"/>
          </w:tcPr>
          <w:p>
            <w:r>
              <w:t>Compare optimized output with recurring_baseline.csv.</w:t>
            </w:r>
          </w:p>
        </w:tc>
        <w:tc>
          <w:tcPr>
            <w:tcW w:type="dxa" w:w="2592"/>
          </w:tcPr>
          <w:p>
            <w:r>
              <w:t>Recorded comparison matched exactly: 81 rows.</w:t>
            </w:r>
          </w:p>
        </w:tc>
      </w:tr>
      <w:tr>
        <w:tc>
          <w:tcPr>
            <w:tcW w:type="dxa" w:w="2592"/>
          </w:tcPr>
          <w:p>
            <w:r>
              <w:t>TC-12</w:t>
            </w:r>
          </w:p>
        </w:tc>
        <w:tc>
          <w:tcPr>
            <w:tcW w:type="dxa" w:w="2592"/>
          </w:tcPr>
          <w:p>
            <w:r>
              <w:t>Recurring performance</w:t>
            </w:r>
          </w:p>
        </w:tc>
        <w:tc>
          <w:tcPr>
            <w:tcW w:type="dxa" w:w="2592"/>
          </w:tcPr>
          <w:p>
            <w:r>
              <w:t>Benchmark old and optimized detector on the same data.</w:t>
            </w:r>
          </w:p>
        </w:tc>
        <w:tc>
          <w:tcPr>
            <w:tcW w:type="dxa" w:w="2592"/>
          </w:tcPr>
          <w:p>
            <w:r>
              <w:t>30.52 s to 6.31 s, about 4.84x faster; output preserved.</w:t>
            </w:r>
          </w:p>
        </w:tc>
      </w:tr>
      <w:tr>
        <w:tc>
          <w:tcPr>
            <w:tcW w:type="dxa" w:w="2592"/>
          </w:tcPr>
          <w:p>
            <w:r>
              <w:t>TC-13</w:t>
            </w:r>
          </w:p>
        </w:tc>
        <w:tc>
          <w:tcPr>
            <w:tcW w:type="dxa" w:w="2592"/>
          </w:tcPr>
          <w:p>
            <w:r>
              <w:t>Anomaly detection</w:t>
            </w:r>
          </w:p>
        </w:tc>
        <w:tc>
          <w:tcPr>
            <w:tcW w:type="dxa" w:w="2592"/>
          </w:tcPr>
          <w:p>
            <w:r>
              <w:t>Run the anomaly pipeline.</w:t>
            </w:r>
          </w:p>
        </w:tc>
        <w:tc>
          <w:tcPr>
            <w:tcW w:type="dxa" w:w="2592"/>
          </w:tcPr>
          <w:p>
            <w:r>
              <w:t>Flagged records and anomaly-related fields are returned.</w:t>
            </w:r>
          </w:p>
        </w:tc>
      </w:tr>
      <w:tr>
        <w:tc>
          <w:tcPr>
            <w:tcW w:type="dxa" w:w="2592"/>
          </w:tcPr>
          <w:p>
            <w:r>
              <w:t>TC-14</w:t>
            </w:r>
          </w:p>
        </w:tc>
        <w:tc>
          <w:tcPr>
            <w:tcW w:type="dxa" w:w="2592"/>
          </w:tcPr>
          <w:p>
            <w:r>
              <w:t>Anomaly baseline</w:t>
            </w:r>
          </w:p>
        </w:tc>
        <w:tc>
          <w:tcPr>
            <w:tcW w:type="dxa" w:w="2592"/>
          </w:tcPr>
          <w:p>
            <w:r>
              <w:t>Compare optimized DataFrame with saved baseline.</w:t>
            </w:r>
          </w:p>
        </w:tc>
        <w:tc>
          <w:tcPr>
            <w:tcW w:type="dxa" w:w="2592"/>
          </w:tcPr>
          <w:p>
            <w:r>
              <w:t>Exact DataFrame comparison passed with check_exact=True and check_dtype=True.</w:t>
            </w:r>
          </w:p>
        </w:tc>
      </w:tr>
      <w:tr>
        <w:tc>
          <w:tcPr>
            <w:tcW w:type="dxa" w:w="2592"/>
          </w:tcPr>
          <w:p>
            <w:r>
              <w:t>TC-15</w:t>
            </w:r>
          </w:p>
        </w:tc>
        <w:tc>
          <w:tcPr>
            <w:tcW w:type="dxa" w:w="2592"/>
          </w:tcPr>
          <w:p>
            <w:r>
              <w:t>Anomaly performance</w:t>
            </w:r>
          </w:p>
        </w:tc>
        <w:tc>
          <w:tcPr>
            <w:tcW w:type="dxa" w:w="2592"/>
          </w:tcPr>
          <w:p>
            <w:r>
              <w:t>Benchmark old and vectorized calculations.</w:t>
            </w:r>
          </w:p>
        </w:tc>
        <w:tc>
          <w:tcPr>
            <w:tcW w:type="dxa" w:w="2592"/>
          </w:tcPr>
          <w:p>
            <w:r>
              <w:t>17.73 s to 1.22 s, about 14.48x faster; output preserved.</w:t>
            </w:r>
          </w:p>
        </w:tc>
      </w:tr>
      <w:tr>
        <w:tc>
          <w:tcPr>
            <w:tcW w:type="dxa" w:w="2592"/>
          </w:tcPr>
          <w:p>
            <w:r>
              <w:t>TC-16</w:t>
            </w:r>
          </w:p>
        </w:tc>
        <w:tc>
          <w:tcPr>
            <w:tcW w:type="dxa" w:w="2592"/>
          </w:tcPr>
          <w:p>
            <w:r>
              <w:t>API response</w:t>
            </w:r>
          </w:p>
        </w:tc>
        <w:tc>
          <w:tcPr>
            <w:tcW w:type="dxa" w:w="2592"/>
          </w:tcPr>
          <w:p>
            <w:r>
              <w:t>Inspect endpoints via app or /docs.</w:t>
            </w:r>
          </w:p>
        </w:tc>
        <w:tc>
          <w:tcPr>
            <w:tcW w:type="dxa" w:w="2592"/>
          </w:tcPr>
          <w:p>
            <w:r>
              <w:t>Endpoints return structured JSON consumed by the frontend; compare with actual response schemas.</w:t>
            </w:r>
          </w:p>
        </w:tc>
      </w:tr>
      <w:tr>
        <w:tc>
          <w:tcPr>
            <w:tcW w:type="dxa" w:w="2592"/>
          </w:tcPr>
          <w:p>
            <w:r>
              <w:t>TC-17</w:t>
            </w:r>
          </w:p>
        </w:tc>
        <w:tc>
          <w:tcPr>
            <w:tcW w:type="dxa" w:w="2592"/>
          </w:tcPr>
          <w:p>
            <w:r>
              <w:t>Production frontend build</w:t>
            </w:r>
          </w:p>
        </w:tc>
        <w:tc>
          <w:tcPr>
            <w:tcW w:type="dxa" w:w="2592"/>
          </w:tcPr>
          <w:p>
            <w:r>
              <w:t>Run npm --prefix frontend run build.</w:t>
            </w:r>
          </w:p>
        </w:tc>
        <w:tc>
          <w:tcPr>
            <w:tcW w:type="dxa" w:w="2592"/>
          </w:tcPr>
          <w:p>
            <w:r>
              <w:t>Vite completes without build errors.</w:t>
            </w:r>
          </w:p>
        </w:tc>
      </w:tr>
      <w:tr>
        <w:tc>
          <w:tcPr>
            <w:tcW w:type="dxa" w:w="2592"/>
          </w:tcPr>
          <w:p>
            <w:r>
              <w:t>TC-18</w:t>
            </w:r>
          </w:p>
        </w:tc>
        <w:tc>
          <w:tcPr>
            <w:tcW w:type="dxa" w:w="2592"/>
          </w:tcPr>
          <w:p>
            <w:r>
              <w:t>Dashboard initial load</w:t>
            </w:r>
          </w:p>
        </w:tc>
        <w:tc>
          <w:tcPr>
            <w:tcW w:type="dxa" w:w="2592"/>
          </w:tcPr>
          <w:p>
            <w:r>
              <w:t>Start both services and open dashboard.</w:t>
            </w:r>
          </w:p>
        </w:tc>
        <w:tc>
          <w:tcPr>
            <w:tcW w:type="dxa" w:w="2592"/>
          </w:tcPr>
          <w:p>
            <w:r>
              <w:t>Summary cards and dashboard sections populate after data loading.</w:t>
            </w:r>
          </w:p>
        </w:tc>
      </w:tr>
      <w:tr>
        <w:tc>
          <w:tcPr>
            <w:tcW w:type="dxa" w:w="2592"/>
          </w:tcPr>
          <w:p>
            <w:r>
              <w:t>TC-19</w:t>
            </w:r>
          </w:p>
        </w:tc>
        <w:tc>
          <w:tcPr>
            <w:tcW w:type="dxa" w:w="2592"/>
          </w:tcPr>
          <w:p>
            <w:r>
              <w:t>Trend chart display</w:t>
            </w:r>
          </w:p>
        </w:tc>
        <w:tc>
          <w:tcPr>
            <w:tcW w:type="dxa" w:w="2592"/>
          </w:tcPr>
          <w:p>
            <w:r>
              <w:t>Inspect monthly/yearly charts after load.</w:t>
            </w:r>
          </w:p>
        </w:tc>
        <w:tc>
          <w:tcPr>
            <w:tcW w:type="dxa" w:w="2592"/>
          </w:tcPr>
          <w:p>
            <w:r>
              <w:t>Charts show returned data with suitable time labels.</w:t>
            </w:r>
          </w:p>
        </w:tc>
      </w:tr>
      <w:tr>
        <w:tc>
          <w:tcPr>
            <w:tcW w:type="dxa" w:w="2592"/>
          </w:tcPr>
          <w:p>
            <w:r>
              <w:t>TC-20</w:t>
            </w:r>
          </w:p>
        </w:tc>
        <w:tc>
          <w:tcPr>
            <w:tcW w:type="dxa" w:w="2592"/>
          </w:tcPr>
          <w:p>
            <w:r>
              <w:t>Recurring table</w:t>
            </w:r>
          </w:p>
        </w:tc>
        <w:tc>
          <w:tcPr>
            <w:tcW w:type="dxa" w:w="2592"/>
          </w:tcPr>
          <w:p>
            <w:r>
              <w:t>Inspect recurring-payment section.</w:t>
            </w:r>
          </w:p>
        </w:tc>
        <w:tc>
          <w:tcPr>
            <w:tcW w:type="dxa" w:w="2592"/>
          </w:tcPr>
          <w:p>
            <w:r>
              <w:t>Recurring candidates and confidence information render readably.</w:t>
            </w:r>
          </w:p>
        </w:tc>
      </w:tr>
      <w:tr>
        <w:tc>
          <w:tcPr>
            <w:tcW w:type="dxa" w:w="2592"/>
          </w:tcPr>
          <w:p>
            <w:r>
              <w:t>TC-21</w:t>
            </w:r>
          </w:p>
        </w:tc>
        <w:tc>
          <w:tcPr>
            <w:tcW w:type="dxa" w:w="2592"/>
          </w:tcPr>
          <w:p>
            <w:r>
              <w:t>Anomaly table</w:t>
            </w:r>
          </w:p>
        </w:tc>
        <w:tc>
          <w:tcPr>
            <w:tcW w:type="dxa" w:w="2592"/>
          </w:tcPr>
          <w:p>
            <w:r>
              <w:t>Inspect anomaly section.</w:t>
            </w:r>
          </w:p>
        </w:tc>
        <w:tc>
          <w:tcPr>
            <w:tcW w:type="dxa" w:w="2592"/>
          </w:tcPr>
          <w:p>
            <w:r>
              <w:t>Flagged records render in a readable table.</w:t>
            </w:r>
          </w:p>
        </w:tc>
      </w:tr>
      <w:tr>
        <w:tc>
          <w:tcPr>
            <w:tcW w:type="dxa" w:w="2592"/>
          </w:tcPr>
          <w:p>
            <w:r>
              <w:t>TC-22</w:t>
            </w:r>
          </w:p>
        </w:tc>
        <w:tc>
          <w:tcPr>
            <w:tcW w:type="dxa" w:w="2592"/>
          </w:tcPr>
          <w:p>
            <w:r>
              <w:t>Staged diff check</w:t>
            </w:r>
          </w:p>
        </w:tc>
        <w:tc>
          <w:tcPr>
            <w:tcW w:type="dxa" w:w="2592"/>
          </w:tcPr>
          <w:p>
            <w:r>
              <w:t>Run git diff --cached --check.</w:t>
            </w:r>
          </w:p>
        </w:tc>
        <w:tc>
          <w:tcPr>
            <w:tcW w:type="dxa" w:w="2592"/>
          </w:tcPr>
          <w:p>
            <w:r>
              <w:t>No whitespace errors were reported in the final staged changes.</w:t>
            </w:r>
          </w:p>
        </w:tc>
      </w:tr>
      <w:tr>
        <w:tc>
          <w:tcPr>
            <w:tcW w:type="dxa" w:w="2592"/>
          </w:tcPr>
          <w:p>
            <w:r>
              <w:t>TC-23</w:t>
            </w:r>
          </w:p>
        </w:tc>
        <w:tc>
          <w:tcPr>
            <w:tcW w:type="dxa" w:w="2592"/>
          </w:tcPr>
          <w:p>
            <w:r>
              <w:t>Repository state</w:t>
            </w:r>
          </w:p>
        </w:tc>
        <w:tc>
          <w:tcPr>
            <w:tcW w:type="dxa" w:w="2592"/>
          </w:tcPr>
          <w:p>
            <w:r>
              <w:t>Run git status after push.</w:t>
            </w:r>
          </w:p>
        </w:tc>
        <w:tc>
          <w:tcPr>
            <w:tcW w:type="dxa" w:w="2592"/>
          </w:tcPr>
          <w:p>
            <w:r>
              <w:t>Recorded final state: main is up to date with origin/main and working tree is clean.</w:t>
            </w:r>
          </w:p>
        </w:tc>
      </w:tr>
    </w:tbl>
    <w:p/>
    <w:p>
      <w:pPr>
        <w:pStyle w:val="Heading1"/>
      </w:pPr>
      <w:r>
        <w:t>4. Synthetic dataset sanity checks</w:t>
      </w:r>
    </w:p>
    <w:p>
      <w:r>
        <w:t>The dashboard was checked with 500,000 synthetic transactions. These are project outputs, not real-world household-finance findings.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Recorded result</w:t>
            </w:r>
          </w:p>
        </w:tc>
      </w:tr>
      <w:tr>
        <w:tc>
          <w:tcPr>
            <w:tcW w:type="dxa" w:w="5184"/>
          </w:tcPr>
          <w:p>
            <w:r>
              <w:t>Expense transactions</w:t>
            </w:r>
          </w:p>
        </w:tc>
        <w:tc>
          <w:tcPr>
            <w:tcW w:type="dxa" w:w="5184"/>
          </w:tcPr>
          <w:p>
            <w:r>
              <w:t>420,687</w:t>
            </w:r>
          </w:p>
        </w:tc>
      </w:tr>
      <w:tr>
        <w:tc>
          <w:tcPr>
            <w:tcW w:type="dxa" w:w="5184"/>
          </w:tcPr>
          <w:p>
            <w:r>
              <w:t>Refund transactions</w:t>
            </w:r>
          </w:p>
        </w:tc>
        <w:tc>
          <w:tcPr>
            <w:tcW w:type="dxa" w:w="5184"/>
          </w:tcPr>
          <w:p>
            <w:r>
              <w:t>47,843</w:t>
            </w:r>
          </w:p>
        </w:tc>
      </w:tr>
      <w:tr>
        <w:tc>
          <w:tcPr>
            <w:tcW w:type="dxa" w:w="5184"/>
          </w:tcPr>
          <w:p>
            <w:r>
              <w:t>Gross expenses</w:t>
            </w:r>
          </w:p>
        </w:tc>
        <w:tc>
          <w:tcPr>
            <w:tcW w:type="dxa" w:w="5184"/>
          </w:tcPr>
          <w:p>
            <w:r>
              <w:t>₹2,80,04,01,223</w:t>
            </w:r>
          </w:p>
        </w:tc>
      </w:tr>
      <w:tr>
        <w:tc>
          <w:tcPr>
            <w:tcW w:type="dxa" w:w="5184"/>
          </w:tcPr>
          <w:p>
            <w:r>
              <w:t>Refunds</w:t>
            </w:r>
          </w:p>
        </w:tc>
        <w:tc>
          <w:tcPr>
            <w:tcW w:type="dxa" w:w="5184"/>
          </w:tcPr>
          <w:p>
            <w:r>
              <w:t>₹12,21,91,544</w:t>
            </w:r>
          </w:p>
        </w:tc>
      </w:tr>
      <w:tr>
        <w:tc>
          <w:tcPr>
            <w:tcW w:type="dxa" w:w="5184"/>
          </w:tcPr>
          <w:p>
            <w:r>
              <w:t>Net spending</w:t>
            </w:r>
          </w:p>
        </w:tc>
        <w:tc>
          <w:tcPr>
            <w:tcW w:type="dxa" w:w="5184"/>
          </w:tcPr>
          <w:p>
            <w:r>
              <w:t>₹2,67,82,09,679</w:t>
            </w:r>
          </w:p>
        </w:tc>
      </w:tr>
      <w:tr>
        <w:tc>
          <w:tcPr>
            <w:tcW w:type="dxa" w:w="5184"/>
          </w:tcPr>
          <w:p>
            <w:r>
              <w:t>Recurring patterns</w:t>
            </w:r>
          </w:p>
        </w:tc>
        <w:tc>
          <w:tcPr>
            <w:tcW w:type="dxa" w:w="5184"/>
          </w:tcPr>
          <w:p>
            <w:r>
              <w:t>81</w:t>
            </w:r>
          </w:p>
        </w:tc>
      </w:tr>
      <w:tr>
        <w:tc>
          <w:tcPr>
            <w:tcW w:type="dxa" w:w="5184"/>
          </w:tcPr>
          <w:p>
            <w:r>
              <w:t>High-confidence recurring patterns</w:t>
            </w:r>
          </w:p>
        </w:tc>
        <w:tc>
          <w:tcPr>
            <w:tcW w:type="dxa" w:w="5184"/>
          </w:tcPr>
          <w:p>
            <w:r>
              <w:t>1 at the project's 70%+ threshold</w:t>
            </w:r>
          </w:p>
        </w:tc>
      </w:tr>
      <w:tr>
        <w:tc>
          <w:tcPr>
            <w:tcW w:type="dxa" w:w="5184"/>
          </w:tcPr>
          <w:p>
            <w:r>
              <w:t>Average recurring payment amount</w:t>
            </w:r>
          </w:p>
        </w:tc>
        <w:tc>
          <w:tcPr>
            <w:tcW w:type="dxa" w:w="5184"/>
          </w:tcPr>
          <w:p>
            <w:r>
              <w:t>₹7,088</w:t>
            </w:r>
          </w:p>
        </w:tc>
      </w:tr>
      <w:tr>
        <w:tc>
          <w:tcPr>
            <w:tcW w:type="dxa" w:w="5184"/>
          </w:tcPr>
          <w:p>
            <w:r>
              <w:t>Flagged anomalies</w:t>
            </w:r>
          </w:p>
        </w:tc>
        <w:tc>
          <w:tcPr>
            <w:tcW w:type="dxa" w:w="5184"/>
          </w:tcPr>
          <w:p>
            <w:r>
              <w:t>20,369</w:t>
            </w:r>
          </w:p>
        </w:tc>
      </w:tr>
      <w:tr>
        <w:tc>
          <w:tcPr>
            <w:tcW w:type="dxa" w:w="5184"/>
          </w:tcPr>
          <w:p>
            <w:r>
              <w:t>Amount associated with flagged anomalies</w:t>
            </w:r>
          </w:p>
        </w:tc>
        <w:tc>
          <w:tcPr>
            <w:tcW w:type="dxa" w:w="5184"/>
          </w:tcPr>
          <w:p>
            <w:r>
              <w:t>₹16,81,40,544</w:t>
            </w:r>
          </w:p>
        </w:tc>
      </w:tr>
      <w:tr>
        <w:tc>
          <w:tcPr>
            <w:tcW w:type="dxa" w:w="5184"/>
          </w:tcPr>
          <w:p>
            <w:r>
              <w:t>Highest robust z-score</w:t>
            </w:r>
          </w:p>
        </w:tc>
        <w:tc>
          <w:tcPr>
            <w:tcW w:type="dxa" w:w="5184"/>
          </w:tcPr>
          <w:p>
            <w:r>
              <w:t>76.8</w:t>
            </w:r>
          </w:p>
        </w:tc>
      </w:tr>
    </w:tbl>
    <w:p/>
    <w:p>
      <w:pPr>
        <w:pStyle w:val="Heading1"/>
      </w:pPr>
      <w:r>
        <w:t>5. Manual verification checklist</w:t>
      </w:r>
    </w:p>
    <w:p>
      <w:r>
        <w:t>☐ Start the backend and confirm the FastAPI app responds.</w:t>
      </w:r>
    </w:p>
    <w:p>
      <w:r>
        <w:t>☐ Open /docs and inspect available endpoints.</w:t>
      </w:r>
    </w:p>
    <w:p>
      <w:r>
        <w:t>☐ Start the frontend and verify the dashboard is not blank.</w:t>
      </w:r>
    </w:p>
    <w:p>
      <w:r>
        <w:t>☐ Check summary cards, monthly/yearly charts, budget table, recurring table, and anomaly table.</w:t>
      </w:r>
    </w:p>
    <w:p>
      <w:r>
        <w:t>☐ Confirm the User column appears in the budget table.</w:t>
      </w:r>
    </w:p>
    <w:p>
      <w:r>
        <w:t>☐ Resize the browser and check that tables and text remain readable.</w:t>
      </w:r>
    </w:p>
    <w:p>
      <w:r>
        <w:t>☐ Run the test suite and frontend build from a fresh checkout.</w:t>
      </w:r>
    </w:p>
    <w:p>
      <w:pPr>
        <w:pStyle w:val="Heading1"/>
      </w:pPr>
      <w:r>
        <w:t>6. Limitations</w:t>
      </w:r>
    </w:p>
    <w:p>
      <w:pPr>
        <w:pStyle w:val="ListBullet"/>
      </w:pPr>
      <w:r>
        <w:t>The dataset is synthetic; it demonstrates pipeline behavior, not real consumer behavior.</w:t>
      </w:r>
    </w:p>
    <w:p>
      <w:pPr>
        <w:pStyle w:val="ListBullet"/>
      </w:pPr>
      <w:r>
        <w:t>Anomaly flags are statistical outliers under implemented rules; they do not prove fraud.</w:t>
      </w:r>
    </w:p>
    <w:p>
      <w:pPr>
        <w:pStyle w:val="ListBullet"/>
      </w:pPr>
      <w:r>
        <w:t>Recurring detection suggests patterns; it cannot guarantee a subscription or future payment.</w:t>
      </w:r>
    </w:p>
    <w:p>
      <w:pPr>
        <w:pStyle w:val="ListBullet"/>
      </w:pPr>
      <w:r>
        <w:t>This is a coverage summary; the actual tests/ directory is the source of truth for exact test definitions.</w:t>
      </w:r>
    </w:p>
    <w:p>
      <w:pPr>
        <w:pStyle w:val="ListBullet"/>
      </w:pPr>
      <w:r>
        <w:t>Production deployment, auth/security, monitoring, concurrency/load testing, and real-data validation are not established by the evidence recorded here.</w:t>
      </w:r>
    </w:p>
    <w:p>
      <w:r>
        <w:t>For reproducibility, clone the public repository, install dependencies from its manifests, run the commands above, and note any environment/version differences.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