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F4E79"/>
          <w:sz w:val="52"/>
          <w:szCs w:val="52"/>
        </w:rPr>
        <w:t xml:space="preserve">SOFTWARE REQUIREMENTS SPECIFICATION</w:t>
      </w:r>
    </w:p>
    <w:p>
      <w:pPr>
        <w:spacing w:after="200"/>
        <w:jc w:val="center"/>
      </w:pPr>
      <w:r>
        <w:rPr>
          <w:rFonts w:ascii="Arial" w:cs="Arial" w:eastAsia="Arial" w:hAnsi="Arial"/>
          <w:color w:val="2E75B6"/>
          <w:sz w:val="36"/>
          <w:szCs w:val="36"/>
        </w:rPr>
        <w:t xml:space="preserve">Enterprise Fraud Risk Management (EFRM) Solution</w:t>
      </w:r>
    </w:p>
    <w:p>
      <w:pPr>
        <w:jc w:val="center"/>
      </w:pPr>
      <w:r>
        <w:rPr>
          <w:rFonts w:ascii="Arial" w:cs="Arial" w:eastAsia="Arial" w:hAnsi="Arial"/>
          <w:b/>
          <w:bCs/>
          <w:sz w:val="28"/>
          <w:szCs w:val="28"/>
        </w:rPr>
        <w:t xml:space="preserve">Uttar Pradesh Gramin Bank (UPGB)</w:t>
      </w:r>
    </w:p>
    <w:p>
      <w:pPr>
        <w:spacing w:after="100"/>
        <w:jc w:val="center"/>
      </w:pPr>
      <w:r>
        <w:rPr>
          <w:rFonts w:ascii="Arial" w:cs="Arial" w:eastAsia="Arial" w:hAnsi="Arial"/>
          <w:color w:val="666666"/>
          <w:sz w:val="24"/>
          <w:szCs w:val="24"/>
        </w:rPr>
        <w:t xml:space="preserve">GEM/2026/B/7474225</w:t>
      </w:r>
    </w:p>
    <w:p>
      <w:pPr>
        <w:jc w:val="center"/>
      </w:pPr>
      <w:r>
        <w:rPr>
          <w:rFonts w:ascii="Arial" w:cs="Arial" w:eastAsia="Arial" w:hAnsi="Arial"/>
          <w:color w:val="888888"/>
          <w:sz w:val="22"/>
          <w:szCs w:val="22"/>
        </w:rPr>
        <w:t xml:space="preserve">Version 1.0  |  June 2026</w:t>
      </w:r>
    </w:p>
    <w:p>
      <w:r>
        <w:br w:type="page"/>
      </w:r>
    </w:p>
    <w:p>
      <w:pPr>
        <w:pStyle w:val="Heading1"/>
        <w:spacing w:after="120" w:before="360"/>
      </w:pPr>
      <w:r>
        <w:rPr>
          <w:rFonts w:ascii="Arial" w:cs="Arial" w:eastAsia="Arial" w:hAnsi="Arial"/>
          <w:b/>
          <w:bCs/>
          <w:color w:val="1F4E79"/>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F4E79"/>
          <w:sz w:val="36"/>
          <w:szCs w:val="36"/>
        </w:rPr>
        <w:t xml:space="preserve">1. Introduction</w:t>
      </w:r>
    </w:p>
    <w:p>
      <w:pPr>
        <w:pStyle w:val="Heading2"/>
        <w:spacing w:after="80" w:before="240"/>
      </w:pPr>
      <w:r>
        <w:rPr>
          <w:rFonts w:ascii="Arial" w:cs="Arial" w:eastAsia="Arial" w:hAnsi="Arial"/>
          <w:b/>
          <w:bCs/>
          <w:color w:val="2E75B6"/>
          <w:sz w:val="28"/>
          <w:szCs w:val="28"/>
        </w:rPr>
        <w:t xml:space="preserve">1.1 Purpose</w:t>
      </w:r>
    </w:p>
    <w:p>
      <w:pPr>
        <w:spacing w:after="100"/>
      </w:pPr>
      <w:r>
        <w:rPr>
          <w:rFonts w:ascii="Arial" w:cs="Arial" w:eastAsia="Arial" w:hAnsi="Arial"/>
          <w:b w:val="false"/>
          <w:bCs w:val="false"/>
          <w:sz w:val="22"/>
          <w:szCs w:val="22"/>
        </w:rPr>
        <w:t xml:space="preserve">This Software Requirements Specification (SRS) defines the functional and non-functional requirements for the Enterprise Fraud Risk Management (EFRM) Solution to be developed, deployed, and maintained for Uttar Pradesh Gramin Bank (UPGB). The document serves as the primary reference for product development, system integration, quality assurance, and regulatory compliance.</w:t>
      </w:r>
    </w:p>
    <w:p>
      <w:pPr>
        <w:pStyle w:val="Heading2"/>
        <w:spacing w:after="80" w:before="240"/>
      </w:pPr>
      <w:r>
        <w:rPr>
          <w:rFonts w:ascii="Arial" w:cs="Arial" w:eastAsia="Arial" w:hAnsi="Arial"/>
          <w:b/>
          <w:bCs/>
          <w:color w:val="2E75B6"/>
          <w:sz w:val="28"/>
          <w:szCs w:val="28"/>
        </w:rPr>
        <w:t xml:space="preserve">1.2 Scope</w:t>
      </w:r>
    </w:p>
    <w:p>
      <w:pPr>
        <w:spacing w:after="100"/>
      </w:pPr>
      <w:r>
        <w:rPr>
          <w:rFonts w:ascii="Arial" w:cs="Arial" w:eastAsia="Arial" w:hAnsi="Arial"/>
          <w:b w:val="false"/>
          <w:bCs w:val="false"/>
          <w:sz w:val="22"/>
          <w:szCs w:val="22"/>
        </w:rPr>
        <w:t xml:space="preserve">The EFRM Solution shall provide real-time, enterprise-wide fraud detection, prevention, investigation, and reporting capabilities across all banking channels. The system must protect UPGB customers from financial fraud while minimizing false positives and ensuring seamless banking operations.</w:t>
      </w:r>
    </w:p>
    <w:p>
      <w:pPr>
        <w:spacing w:after="100"/>
      </w:pPr>
      <w:r>
        <w:rPr>
          <w:rFonts w:ascii="Arial" w:cs="Arial" w:eastAsia="Arial" w:hAnsi="Arial"/>
          <w:b w:val="false"/>
          <w:bCs w:val="false"/>
          <w:sz w:val="22"/>
          <w:szCs w:val="22"/>
        </w:rPr>
        <w:t xml:space="preserve">Channels in scope: UPI, Mobile Banking, Internet Banking, Debit Card (ATM/E-com), AEPS, IMPS, NEFT/RTGS, BBPS, CBS Branch Transactions, and Call Centre/IVRS.</w:t>
      </w:r>
    </w:p>
    <w:p>
      <w:pPr>
        <w:pStyle w:val="Heading2"/>
        <w:spacing w:after="80" w:before="240"/>
      </w:pPr>
      <w:r>
        <w:rPr>
          <w:rFonts w:ascii="Arial" w:cs="Arial" w:eastAsia="Arial" w:hAnsi="Arial"/>
          <w:b/>
          <w:bCs/>
          <w:color w:val="2E75B6"/>
          <w:sz w:val="28"/>
          <w:szCs w:val="28"/>
        </w:rPr>
        <w:t xml:space="preserve">1.3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Term / Acronym</w:t>
            </w:r>
          </w:p>
        </w:tc>
        <w:tc>
          <w:tcPr>
            <w:tcW w:type="dxa" w:w="70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Definition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EFRM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Enterprise Fraud Risk Management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UPGB</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Uttar Pradesh Gramin Bank</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CBS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Core Banking Solution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TPS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Transactions Per Second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RTO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Recovery Time Objective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RPO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Recovery Point Objective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AEPS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Aadhaar Enabled Payment System</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BBPS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Bharat Bill Payment System</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IMPS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Immediate Payment Service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UPI</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Unified Payments Interface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IVRS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Interactive Voice Response System</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ML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Machine Learning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AI</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Artificial Intelligence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RBAC</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Role-Based Access Control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MIS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Management Information System</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VAPT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Vulnerability Assessment and Penetration Testing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SLA</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Service Level Agreement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KYC</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Know Your Customer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AML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Anti-Money Laundering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DC/DR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Data Centre / Disaster Recovery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DoT FRI</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Department of Telecom Fraud Risk Intelligence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MNRL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Mobile Number Revocation List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OSM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Online Scam Monitoring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EWS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Early Warning System</w:t>
            </w:r>
          </w:p>
        </w:tc>
      </w:tr>
    </w:tbl>
    <w:p>
      <w:pPr>
        <w:pStyle w:val="Heading2"/>
        <w:spacing w:after="80" w:before="240"/>
      </w:pPr>
      <w:r>
        <w:rPr>
          <w:rFonts w:ascii="Arial" w:cs="Arial" w:eastAsia="Arial" w:hAnsi="Arial"/>
          <w:b/>
          <w:bCs/>
          <w:color w:val="2E75B6"/>
          <w:sz w:val="28"/>
          <w:szCs w:val="28"/>
        </w:rPr>
        <w:t xml:space="preserve">1.4 References</w:t>
      </w:r>
    </w:p>
    <w:p>
      <w:pPr>
        <w:pStyle w:val="ListParagraph"/>
        <w:numPr>
          <w:ilvl w:val="0"/>
          <w:numId w:val="2"/>
        </w:numPr>
        <w:spacing w:after="60"/>
      </w:pPr>
      <w:r>
        <w:rPr>
          <w:rFonts w:ascii="Arial" w:cs="Arial" w:eastAsia="Arial" w:hAnsi="Arial"/>
          <w:sz w:val="22"/>
          <w:szCs w:val="22"/>
        </w:rPr>
        <w:t xml:space="preserve">RFP GEM/2026/B/7474225 - Uttar Pradesh Gramin Bank EFRM Solution Procurement</w:t>
      </w:r>
    </w:p>
    <w:p>
      <w:pPr>
        <w:pStyle w:val="ListParagraph"/>
        <w:numPr>
          <w:ilvl w:val="0"/>
          <w:numId w:val="2"/>
        </w:numPr>
        <w:spacing w:after="60"/>
      </w:pPr>
      <w:r>
        <w:rPr>
          <w:rFonts w:ascii="Arial" w:cs="Arial" w:eastAsia="Arial" w:hAnsi="Arial"/>
          <w:sz w:val="22"/>
          <w:szCs w:val="22"/>
        </w:rPr>
        <w:t xml:space="preserve">RBI Cyber Security Framework and Guidelines</w:t>
      </w:r>
    </w:p>
    <w:p>
      <w:pPr>
        <w:pStyle w:val="ListParagraph"/>
        <w:numPr>
          <w:ilvl w:val="0"/>
          <w:numId w:val="2"/>
        </w:numPr>
        <w:spacing w:after="60"/>
      </w:pPr>
      <w:r>
        <w:rPr>
          <w:rFonts w:ascii="Arial" w:cs="Arial" w:eastAsia="Arial" w:hAnsi="Arial"/>
          <w:sz w:val="22"/>
          <w:szCs w:val="22"/>
        </w:rPr>
        <w:t xml:space="preserve">RBI Guidelines on Fraud Classification and Reporting</w:t>
      </w:r>
    </w:p>
    <w:p>
      <w:pPr>
        <w:pStyle w:val="ListParagraph"/>
        <w:numPr>
          <w:ilvl w:val="0"/>
          <w:numId w:val="2"/>
        </w:numPr>
        <w:spacing w:after="60"/>
      </w:pPr>
      <w:r>
        <w:rPr>
          <w:rFonts w:ascii="Arial" w:cs="Arial" w:eastAsia="Arial" w:hAnsi="Arial"/>
          <w:sz w:val="22"/>
          <w:szCs w:val="22"/>
        </w:rPr>
        <w:t xml:space="preserve">RBI Authentication Direction 2025 (Risk-Based Authentication)</w:t>
      </w:r>
    </w:p>
    <w:p>
      <w:pPr>
        <w:pStyle w:val="ListParagraph"/>
        <w:numPr>
          <w:ilvl w:val="0"/>
          <w:numId w:val="2"/>
        </w:numPr>
        <w:spacing w:after="60"/>
      </w:pPr>
      <w:r>
        <w:rPr>
          <w:rFonts w:ascii="Arial" w:cs="Arial" w:eastAsia="Arial" w:hAnsi="Arial"/>
          <w:sz w:val="22"/>
          <w:szCs w:val="22"/>
        </w:rPr>
        <w:t xml:space="preserve">NPCI/RBI Payment System Regulations (UPI, IMPS, NEFT/RTGS)</w:t>
      </w:r>
    </w:p>
    <w:p>
      <w:pPr>
        <w:pStyle w:val="ListParagraph"/>
        <w:numPr>
          <w:ilvl w:val="0"/>
          <w:numId w:val="2"/>
        </w:numPr>
        <w:spacing w:after="60"/>
      </w:pPr>
      <w:r>
        <w:rPr>
          <w:rFonts w:ascii="Arial" w:cs="Arial" w:eastAsia="Arial" w:hAnsi="Arial"/>
          <w:sz w:val="22"/>
          <w:szCs w:val="22"/>
        </w:rPr>
        <w:t xml:space="preserve">Digital Personal Data Protection Act, 2023</w:t>
      </w:r>
    </w:p>
    <w:p>
      <w:pPr>
        <w:pStyle w:val="ListParagraph"/>
        <w:numPr>
          <w:ilvl w:val="0"/>
          <w:numId w:val="2"/>
        </w:numPr>
        <w:spacing w:after="60"/>
      </w:pPr>
      <w:r>
        <w:rPr>
          <w:rFonts w:ascii="Arial" w:cs="Arial" w:eastAsia="Arial" w:hAnsi="Arial"/>
          <w:sz w:val="22"/>
          <w:szCs w:val="22"/>
        </w:rPr>
        <w:t xml:space="preserve">ISO/IEC 27001:2022 - Information Security Management</w:t>
      </w:r>
    </w:p>
    <w:p>
      <w:pPr>
        <w:pStyle w:val="ListParagraph"/>
        <w:numPr>
          <w:ilvl w:val="0"/>
          <w:numId w:val="2"/>
        </w:numPr>
        <w:spacing w:after="60"/>
      </w:pPr>
      <w:r>
        <w:rPr>
          <w:rFonts w:ascii="Arial" w:cs="Arial" w:eastAsia="Arial" w:hAnsi="Arial"/>
          <w:sz w:val="22"/>
          <w:szCs w:val="22"/>
        </w:rPr>
        <w:t xml:space="preserve">PCI-DSS v4.0 - Payment Card Industry Data Security Standard</w:t>
      </w:r>
    </w:p>
    <w:p>
      <w:pPr>
        <w:pStyle w:val="ListParagraph"/>
        <w:numPr>
          <w:ilvl w:val="0"/>
          <w:numId w:val="2"/>
        </w:numPr>
        <w:spacing w:after="60"/>
      </w:pPr>
      <w:r>
        <w:rPr>
          <w:rFonts w:ascii="Arial" w:cs="Arial" w:eastAsia="Arial" w:hAnsi="Arial"/>
          <w:sz w:val="22"/>
          <w:szCs w:val="22"/>
        </w:rPr>
        <w:t xml:space="preserve">OWASP Top 10 Web Application Security Risks</w:t>
      </w:r>
    </w:p>
    <w:p>
      <w:r>
        <w:br w:type="page"/>
      </w:r>
    </w:p>
    <w:p>
      <w:pPr>
        <w:pStyle w:val="Heading1"/>
        <w:spacing w:after="120" w:before="360"/>
      </w:pPr>
      <w:r>
        <w:rPr>
          <w:rFonts w:ascii="Arial" w:cs="Arial" w:eastAsia="Arial" w:hAnsi="Arial"/>
          <w:b/>
          <w:bCs/>
          <w:color w:val="1F4E79"/>
          <w:sz w:val="36"/>
          <w:szCs w:val="36"/>
        </w:rPr>
        <w:t xml:space="preserve">2. Product Overview</w:t>
      </w:r>
    </w:p>
    <w:p>
      <w:pPr>
        <w:pStyle w:val="Heading2"/>
        <w:spacing w:after="80" w:before="240"/>
      </w:pPr>
      <w:r>
        <w:rPr>
          <w:rFonts w:ascii="Arial" w:cs="Arial" w:eastAsia="Arial" w:hAnsi="Arial"/>
          <w:b/>
          <w:bCs/>
          <w:color w:val="2E75B6"/>
          <w:sz w:val="28"/>
          <w:szCs w:val="28"/>
        </w:rPr>
        <w:t xml:space="preserve">2.1 Product Vision</w:t>
      </w:r>
    </w:p>
    <w:p>
      <w:pPr>
        <w:spacing w:after="100"/>
      </w:pPr>
      <w:r>
        <w:rPr>
          <w:rFonts w:ascii="Arial" w:cs="Arial" w:eastAsia="Arial" w:hAnsi="Arial"/>
          <w:b w:val="false"/>
          <w:bCs w:val="false"/>
          <w:sz w:val="22"/>
          <w:szCs w:val="22"/>
        </w:rPr>
        <w:t xml:space="preserve">The EFRM Solution is an AI/ML-driven, real-time, enterprise-wide fraud management platform that monitors, detects, prevents, and investigates fraudulent activity across all UPGB banking channels. It eliminates channel-siloed fraud detection by providing a unified, cross-channel view of customer behavior and transaction patterns.</w:t>
      </w:r>
    </w:p>
    <w:p>
      <w:pPr>
        <w:pStyle w:val="Heading2"/>
        <w:spacing w:after="80" w:before="240"/>
      </w:pPr>
      <w:r>
        <w:rPr>
          <w:rFonts w:ascii="Arial" w:cs="Arial" w:eastAsia="Arial" w:hAnsi="Arial"/>
          <w:b/>
          <w:bCs/>
          <w:color w:val="2E75B6"/>
          <w:sz w:val="28"/>
          <w:szCs w:val="28"/>
        </w:rPr>
        <w:t xml:space="preserve">2.2 Key Capabilities</w:t>
      </w:r>
    </w:p>
    <w:p>
      <w:pPr>
        <w:pStyle w:val="ListParagraph"/>
        <w:numPr>
          <w:ilvl w:val="0"/>
          <w:numId w:val="2"/>
        </w:numPr>
        <w:spacing w:after="60"/>
      </w:pPr>
      <w:r>
        <w:rPr>
          <w:rFonts w:ascii="Arial" w:cs="Arial" w:eastAsia="Arial" w:hAnsi="Arial"/>
          <w:sz w:val="22"/>
          <w:szCs w:val="22"/>
        </w:rPr>
        <w:t xml:space="preserve">Real-time transaction monitoring with sub-100ms response at 5,000 TPS peak load</w:t>
      </w:r>
    </w:p>
    <w:p>
      <w:pPr>
        <w:pStyle w:val="ListParagraph"/>
        <w:numPr>
          <w:ilvl w:val="0"/>
          <w:numId w:val="2"/>
        </w:numPr>
        <w:spacing w:after="60"/>
      </w:pPr>
      <w:r>
        <w:rPr>
          <w:rFonts w:ascii="Arial" w:cs="Arial" w:eastAsia="Arial" w:hAnsi="Arial"/>
          <w:sz w:val="22"/>
          <w:szCs w:val="22"/>
        </w:rPr>
        <w:t xml:space="preserve">AI/ML-based fraud detection using supervised, unsupervised, and self-learning models</w:t>
      </w:r>
    </w:p>
    <w:p>
      <w:pPr>
        <w:pStyle w:val="ListParagraph"/>
        <w:numPr>
          <w:ilvl w:val="0"/>
          <w:numId w:val="2"/>
        </w:numPr>
        <w:spacing w:after="60"/>
      </w:pPr>
      <w:r>
        <w:rPr>
          <w:rFonts w:ascii="Arial" w:cs="Arial" w:eastAsia="Arial" w:hAnsi="Arial"/>
          <w:sz w:val="22"/>
          <w:szCs w:val="22"/>
        </w:rPr>
        <w:t xml:space="preserve">Dynamic customer profiling aggregating behavioral, transactional, demographic, and device data</w:t>
      </w:r>
    </w:p>
    <w:p>
      <w:pPr>
        <w:pStyle w:val="ListParagraph"/>
        <w:numPr>
          <w:ilvl w:val="0"/>
          <w:numId w:val="2"/>
        </w:numPr>
        <w:spacing w:after="60"/>
      </w:pPr>
      <w:r>
        <w:rPr>
          <w:rFonts w:ascii="Arial" w:cs="Arial" w:eastAsia="Arial" w:hAnsi="Arial"/>
          <w:sz w:val="22"/>
          <w:szCs w:val="22"/>
        </w:rPr>
        <w:t xml:space="preserve">Cross-channel fraud correlation engine preventing siloed detection</w:t>
      </w:r>
    </w:p>
    <w:p>
      <w:pPr>
        <w:pStyle w:val="ListParagraph"/>
        <w:numPr>
          <w:ilvl w:val="0"/>
          <w:numId w:val="2"/>
        </w:numPr>
        <w:spacing w:after="60"/>
      </w:pPr>
      <w:r>
        <w:rPr>
          <w:rFonts w:ascii="Arial" w:cs="Arial" w:eastAsia="Arial" w:hAnsi="Arial"/>
          <w:sz w:val="22"/>
          <w:szCs w:val="22"/>
        </w:rPr>
        <w:t xml:space="preserve">Integrated Case Management System supporting 100-150 simultaneous investigators</w:t>
      </w:r>
    </w:p>
    <w:p>
      <w:pPr>
        <w:pStyle w:val="ListParagraph"/>
        <w:numPr>
          <w:ilvl w:val="0"/>
          <w:numId w:val="2"/>
        </w:numPr>
        <w:spacing w:after="60"/>
      </w:pPr>
      <w:r>
        <w:rPr>
          <w:rFonts w:ascii="Arial" w:cs="Arial" w:eastAsia="Arial" w:hAnsi="Arial"/>
          <w:sz w:val="22"/>
          <w:szCs w:val="22"/>
        </w:rPr>
        <w:t xml:space="preserve">Network Analytics including social link analysis and mule account detection</w:t>
      </w:r>
    </w:p>
    <w:p>
      <w:pPr>
        <w:pStyle w:val="ListParagraph"/>
        <w:numPr>
          <w:ilvl w:val="0"/>
          <w:numId w:val="2"/>
        </w:numPr>
        <w:spacing w:after="60"/>
      </w:pPr>
      <w:r>
        <w:rPr>
          <w:rFonts w:ascii="Arial" w:cs="Arial" w:eastAsia="Arial" w:hAnsi="Arial"/>
          <w:sz w:val="22"/>
          <w:szCs w:val="22"/>
        </w:rPr>
        <w:t xml:space="preserve">Risk-based and step-up authentication in compliance with RBI Authentication Direction 2025</w:t>
      </w:r>
    </w:p>
    <w:p>
      <w:pPr>
        <w:pStyle w:val="ListParagraph"/>
        <w:numPr>
          <w:ilvl w:val="0"/>
          <w:numId w:val="2"/>
        </w:numPr>
        <w:spacing w:after="60"/>
      </w:pPr>
      <w:r>
        <w:rPr>
          <w:rFonts w:ascii="Arial" w:cs="Arial" w:eastAsia="Arial" w:hAnsi="Arial"/>
          <w:sz w:val="22"/>
          <w:szCs w:val="22"/>
        </w:rPr>
        <w:t xml:space="preserve">Comprehensive MIS, dashboards, and regulatory reporting</w:t>
      </w:r>
    </w:p>
    <w:p>
      <w:pPr>
        <w:pStyle w:val="ListParagraph"/>
        <w:numPr>
          <w:ilvl w:val="0"/>
          <w:numId w:val="2"/>
        </w:numPr>
        <w:spacing w:after="60"/>
      </w:pPr>
      <w:r>
        <w:rPr>
          <w:rFonts w:ascii="Arial" w:cs="Arial" w:eastAsia="Arial" w:hAnsi="Arial"/>
          <w:sz w:val="22"/>
          <w:szCs w:val="22"/>
        </w:rPr>
        <w:t xml:space="preserve">DC + DR deployment with 99.90% uptime, RTO 120 min, RPO 10 min</w:t>
      </w:r>
    </w:p>
    <w:p>
      <w:pPr>
        <w:pStyle w:val="Heading2"/>
        <w:spacing w:after="80" w:before="240"/>
      </w:pPr>
      <w:r>
        <w:rPr>
          <w:rFonts w:ascii="Arial" w:cs="Arial" w:eastAsia="Arial" w:hAnsi="Arial"/>
          <w:b/>
          <w:bCs/>
          <w:color w:val="2E75B6"/>
          <w:sz w:val="28"/>
          <w:szCs w:val="28"/>
        </w:rPr>
        <w:t xml:space="preserve">2.3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Stakeholder</w:t>
            </w:r>
          </w:p>
        </w:tc>
        <w:tc>
          <w:tcPr>
            <w:tcW w:type="dxa" w:w="3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Role</w:t>
            </w:r>
          </w:p>
        </w:tc>
        <w:tc>
          <w:tcPr>
            <w:tcW w:type="dxa" w:w="3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Key Interests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UPGB Management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Decision Maker / Sponsor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Risk reduction, regulatory compliance, ROI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Fraud Analysts / Investigators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Primary Users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Efficient case management, low false positive rate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IT / System Administrators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Technical Operators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System reliability, ease of configuration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Compliance Team</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Regulatory Oversight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RBI/DFS reporting, audit trail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Branch / Channel Staff</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Indirect Users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Transaction continuity, minimal friction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UPGB Customers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End Consumers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Security, seamless banking experience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RBI / DFS / NPCI</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Regulators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Compliance reporting, fraud data sharing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Solution Vendor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Implementer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Scope clarity, acceptance criteria</w:t>
            </w:r>
          </w:p>
        </w:tc>
      </w:tr>
    </w:tbl>
    <w:p>
      <w:pPr>
        <w:pStyle w:val="Heading2"/>
        <w:spacing w:after="80" w:before="240"/>
      </w:pPr>
      <w:r>
        <w:rPr>
          <w:rFonts w:ascii="Arial" w:cs="Arial" w:eastAsia="Arial" w:hAnsi="Arial"/>
          <w:b/>
          <w:bCs/>
          <w:color w:val="2E75B6"/>
          <w:sz w:val="28"/>
          <w:szCs w:val="28"/>
        </w:rPr>
        <w:t xml:space="preserve">2.4 Implementation Phases</w:t>
      </w:r>
    </w:p>
    <w:p>
      <w:pPr>
        <w:pStyle w:val="Heading3"/>
        <w:spacing w:after="60" w:before="160"/>
      </w:pPr>
      <w:r>
        <w:rPr>
          <w:rFonts w:ascii="Arial" w:cs="Arial" w:eastAsia="Arial" w:hAnsi="Arial"/>
          <w:b/>
          <w:bCs/>
          <w:color w:val="404040"/>
          <w:sz w:val="24"/>
          <w:szCs w:val="24"/>
        </w:rPr>
        <w:t xml:space="preserve">Phase 1 (0 – 12 weeks)</w:t>
      </w:r>
    </w:p>
    <w:p>
      <w:pPr>
        <w:spacing w:after="100"/>
      </w:pPr>
      <w:r>
        <w:rPr>
          <w:rFonts w:ascii="Arial" w:cs="Arial" w:eastAsia="Arial" w:hAnsi="Arial"/>
          <w:b w:val="false"/>
          <w:bCs w:val="false"/>
          <w:sz w:val="22"/>
          <w:szCs w:val="22"/>
        </w:rPr>
        <w:t xml:space="preserve">UPI, Mobile Banking, Internet Banking, Debit Card (ATM/E-com), IMPS, AEPS, NEFT/RTGS, Call Centre/IVRS, SMS/Email Gateway.</w:t>
      </w:r>
    </w:p>
    <w:p>
      <w:pPr>
        <w:pStyle w:val="Heading3"/>
        <w:spacing w:after="60" w:before="160"/>
      </w:pPr>
      <w:r>
        <w:rPr>
          <w:rFonts w:ascii="Arial" w:cs="Arial" w:eastAsia="Arial" w:hAnsi="Arial"/>
          <w:b/>
          <w:bCs/>
          <w:color w:val="404040"/>
          <w:sz w:val="24"/>
          <w:szCs w:val="24"/>
        </w:rPr>
        <w:t xml:space="preserve">Phase 2 (13 – 20 weeks)</w:t>
      </w:r>
    </w:p>
    <w:p>
      <w:pPr>
        <w:spacing w:after="100"/>
      </w:pPr>
      <w:r>
        <w:rPr>
          <w:rFonts w:ascii="Arial" w:cs="Arial" w:eastAsia="Arial" w:hAnsi="Arial"/>
          <w:b w:val="false"/>
          <w:bCs w:val="false"/>
          <w:sz w:val="22"/>
          <w:szCs w:val="22"/>
        </w:rPr>
        <w:t xml:space="preserve">CBS Branch Transactions, BBPS, Behavioural Biometrics integration.</w:t>
      </w:r>
    </w:p>
    <w:p>
      <w:pPr>
        <w:pStyle w:val="Heading3"/>
        <w:spacing w:after="60" w:before="160"/>
      </w:pPr>
      <w:r>
        <w:rPr>
          <w:rFonts w:ascii="Arial" w:cs="Arial" w:eastAsia="Arial" w:hAnsi="Arial"/>
          <w:b/>
          <w:bCs/>
          <w:color w:val="404040"/>
          <w:sz w:val="24"/>
          <w:szCs w:val="24"/>
        </w:rPr>
        <w:t xml:space="preserve">Phase 3 (Post 20 weeks)</w:t>
      </w:r>
    </w:p>
    <w:p>
      <w:pPr>
        <w:spacing w:after="100"/>
      </w:pPr>
      <w:r>
        <w:rPr>
          <w:rFonts w:ascii="Arial" w:cs="Arial" w:eastAsia="Arial" w:hAnsi="Arial"/>
          <w:b w:val="false"/>
          <w:bCs w:val="false"/>
          <w:sz w:val="22"/>
          <w:szCs w:val="22"/>
        </w:rPr>
        <w:t xml:space="preserve">Additional channels and integrations as identified by UPGB during rollout.</w:t>
      </w:r>
    </w:p>
    <w:p>
      <w:r>
        <w:br w:type="page"/>
      </w:r>
    </w:p>
    <w:p>
      <w:pPr>
        <w:pStyle w:val="Heading1"/>
        <w:spacing w:after="120" w:before="360"/>
      </w:pPr>
      <w:r>
        <w:rPr>
          <w:rFonts w:ascii="Arial" w:cs="Arial" w:eastAsia="Arial" w:hAnsi="Arial"/>
          <w:b/>
          <w:bCs/>
          <w:color w:val="1F4E79"/>
          <w:sz w:val="36"/>
          <w:szCs w:val="36"/>
        </w:rPr>
        <w:t xml:space="preserve">3. Functional Requirements</w:t>
      </w:r>
    </w:p>
    <w:p>
      <w:pPr>
        <w:pStyle w:val="Heading2"/>
        <w:spacing w:after="80" w:before="240"/>
      </w:pPr>
      <w:r>
        <w:rPr>
          <w:rFonts w:ascii="Arial" w:cs="Arial" w:eastAsia="Arial" w:hAnsi="Arial"/>
          <w:b/>
          <w:bCs/>
          <w:color w:val="2E75B6"/>
          <w:sz w:val="28"/>
          <w:szCs w:val="28"/>
        </w:rPr>
        <w:t xml:space="preserve">3.1 General Capabilities</w:t>
      </w:r>
    </w:p>
    <w:p>
      <w:pPr>
        <w:spacing w:after="100"/>
      </w:pPr>
      <w:r>
        <w:rPr>
          <w:rFonts w:ascii="Arial" w:cs="Arial" w:eastAsia="Arial" w:hAnsi="Arial"/>
          <w:b w:val="false"/>
          <w:bCs w:val="false"/>
          <w:sz w:val="22"/>
          <w:szCs w:val="22"/>
        </w:rPr>
        <w:t xml:space="preserve">These requirements define the foundational platform capabilities required across all modules of the EFRM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320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Req ID</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Requirement</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Acceptance Criteria</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FR-A.01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provide automated failover to DR site with zero data loss for in-flight transactions at point of failover.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DR failover completes within RTO of 120 minutes; no in-flight transaction data lost during failover test.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FR-A.02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replicate data to DR in real-time or near real-time meeting RPO of 10 minutes.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RPO ≤ 10 minutes verified in DR drill; data replication lag monitored and alerted.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FR-A.03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integrate with all UPGB banking channels: UPI, Mobile Banking, Internet Banking, Debit Card, AEPS, IMPS, NEFT/RTGS, BBPS, CBS, IVRS.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All listed channel connectors active and passing transactions for scoring within Phase 1/2 timelines.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FR-A.04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maintain a configurable, web-based Case Management System accessible to 100-150 simultaneous users.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100 concurrent user load test passes with response time ≤ 3 seconds; no case data lost.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FR-A.05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route alerts to investigators based on configurable assignment rules (channel, risk score, geography, workload).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Alerts routed per configured rules; manual reassignment available; SLA clock starts on assignment.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FR-A.06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generate AI/ML-driven alerts with risk scores and reason codes for each flagged transaction.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Each alert includes risk score (0-100), top 3-5 reason codes, and contributing feature values.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FR-A.07</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provide a web-based rule engine for creating, editing, versioning, activating, and deactivating fraud detection rules without coding.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Business user creates and deploys a new rule within 30 minutes without developer assistance.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FR-A.08</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maintain a complete, immutable audit trail for all system actions, rule changes, user logins, case updates, and alerts.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Audit log entries cannot be modified or deleted; searchable by user, timestamp, entity, and action type.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FR-A.09</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support alert prioritization based on configurable risk thresholds and business rules.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High-risk alerts surface within the first page of the investigator queue; priority levels are configurable.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FR-A.10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provide a configurable alert deduplication mechanism to prevent multiple alerts for the same fraud event.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Duplicate alert rate &lt; 2%; deduplication logic is transparent and auditable.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FR-A.11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support integration with external fraud intelligence feeds (Neustar, Maxmind, DoT FRI/MNRL, OSM, etc.).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External feed data enriches alerts in real time; feed health monitored and alerted on failure.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FR-A.12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allow configuration of alert lifecycle stages: Open, In Investigation, Escalated, Closed (True Positive / False Positive / Inconclusive).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All alert stages available; transitions logged with timestamp and user; closed alerts cannot be reopened without supervisor approval.</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FR-A.13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support bulk alert actions (acknowledge, assign, close) for operational efficiency.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Investigators can select and action up to 100 alerts simultaneously.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FR-A.14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provide SLA tracking dashboards for alert and case aging with configurable escalation triggers.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SLA breach triggers automated escalation notification within 5 minutes of breach.</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FR-A.15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support export of case evidence packages for law enforcement submission.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Evidence packages include transaction records, audit trail, alert details, and investigator notes in a tamper-evident format.</w:t>
            </w:r>
          </w:p>
        </w:tc>
      </w:tr>
    </w:tbl>
    <w:p>
      <w:pPr>
        <w:pStyle w:val="Heading2"/>
        <w:spacing w:after="80" w:before="240"/>
      </w:pPr>
      <w:r>
        <w:rPr>
          <w:rFonts w:ascii="Arial" w:cs="Arial" w:eastAsia="Arial" w:hAnsi="Arial"/>
          <w:b/>
          <w:bCs/>
          <w:color w:val="2E75B6"/>
          <w:sz w:val="28"/>
          <w:szCs w:val="28"/>
        </w:rPr>
        <w:t xml:space="preserve">3.2 Real-Time Fraud Prevention, Detection, and Scoring (Area B)</w:t>
      </w:r>
    </w:p>
    <w:p>
      <w:pPr>
        <w:spacing w:after="100"/>
      </w:pPr>
      <w:r>
        <w:rPr>
          <w:rFonts w:ascii="Arial" w:cs="Arial" w:eastAsia="Arial" w:hAnsi="Arial"/>
          <w:b w:val="false"/>
          <w:bCs w:val="false"/>
          <w:sz w:val="22"/>
          <w:szCs w:val="22"/>
        </w:rPr>
        <w:t xml:space="preserve">This module covers the core real-time scoring engine, scenario/rule engine, behavioral profiling, ML-based detection, cross-channel correlation, and case archival.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320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Req ID</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Requirement</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Acceptance Criteria</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FR-B.01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evaluate every incoming transaction in real time with a scoring latency of ≤ 100ms at 5,000 TPS peak load.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P95 scoring latency ≤ 100ms under 5,000 TPS sustained load in performance test.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FR-B.02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implement a hybrid fraud detection model combining rules, behavioral analytics, and supervised ML.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All three detection layers contribute to the final risk score; each layer's contribution is transparent.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FR-B.03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provide a scenario engine with no pre-set limit on the number of fraud scenarios/rules.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System accommodates 10,000+ active rules without performance degradation.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FR-B.04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support behavioral profiling per customer updated in real time, incorporating transaction history, device, geo-location, and timing patterns.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Customer profile updated within 1 second of each transaction; profile reflects last 90 days of activity by default (configurable).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FR-B.05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correlate fraud signals across channels to detect multi-channel attacks (e.g., account takeover followed by UPI transfer).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Cross-channel correlation links events within a configurable time window; linked events visible in a single investigation view.</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FR-B.06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integrate with IVRS/Call Centre to monitor and score call-related transactions.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Call centre transactions ingested in real time; spoofed caller ID and social engineering patterns flagged.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FR-B.07</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archive cases and alerts with full evidence after closure, with retrieval within 30 seconds.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Closed case retrieved within 30 seconds; archived data retained for minimum 7 years.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FR-B.08</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support supervised ML models for known fraud types including card fraud, account takeover, SIM swap, and mule detection.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Model precision ≥ 80% and recall ≥ 70% for each fraud type on UPGB historical data at go-live.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FR-B.09</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assign a composite risk score (0-100) to each transaction with explainable reason codes.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Risk score and top 5 contributing factors displayed in alert view; reason codes are human-readable.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FR-B.10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allow blocking, step-up authentication, or allow actions based on configurable risk score thresholds.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Block/step-up/allow thresholds configurable per channel and transaction type without code change.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FR-B.11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capture false positive and true positive feedback from investigators to feed into model retraining.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Feedback captured at alert close; retraining pipeline triggered on configurable feedback volume threshold.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FR-B.12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support unsupervised anomaly detection models to identify previously unknown fraud patterns.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Anomaly model flags statistical outliers; outlier clusters reviewable in analytics dashboard.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FR-B.13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provide a watchlist management module for flagged accounts, devices, IP addresses, and phone numbers.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Watchlist lookup integrated into real-time scoring; watchlist updated via UI and API.</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FR-B.14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support configurable cooling-off periods and transaction velocity checks per customer.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Velocity rules configurable (count/amount per time window per channel) via web UI without code change.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FR-B.15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generate real-time SMS/email alerts to customers for suspicious transactions.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Customer notification dispatched within 30 seconds of fraud alert generation; notification content configurable.</w:t>
            </w:r>
          </w:p>
        </w:tc>
      </w:tr>
    </w:tbl>
    <w:p>
      <w:pPr>
        <w:pStyle w:val="Heading2"/>
        <w:spacing w:after="80" w:before="240"/>
      </w:pPr>
      <w:r>
        <w:rPr>
          <w:rFonts w:ascii="Arial" w:cs="Arial" w:eastAsia="Arial" w:hAnsi="Arial"/>
          <w:b/>
          <w:bCs/>
          <w:color w:val="2E75B6"/>
          <w:sz w:val="28"/>
          <w:szCs w:val="28"/>
        </w:rPr>
        <w:t xml:space="preserve">3.3 Core Banking Solution (CBS) Integration (Area C)</w:t>
      </w:r>
    </w:p>
    <w:p>
      <w:pPr>
        <w:spacing w:after="100"/>
      </w:pPr>
      <w:r>
        <w:rPr>
          <w:rFonts w:ascii="Arial" w:cs="Arial" w:eastAsia="Arial" w:hAnsi="Arial"/>
          <w:b w:val="false"/>
          <w:bCs w:val="false"/>
          <w:sz w:val="22"/>
          <w:szCs w:val="22"/>
        </w:rPr>
        <w:t xml:space="preserve">This module covers CBS branch transaction monitoring, employee fraud detection, dormant account monitoring, and batch transaction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320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Req ID</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Requirement</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Acceptance Criteria</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FR-C.01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integrate with UPGB's CBS to receive branch transactions in real time or near real 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CBS transaction feed latency ≤ 5 seconds; integration tested with UPGB's CBS vendor.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FR-C.02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detect employee fraud patterns including unauthorized account access, excessive overrides, and unusual transaction hours.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Employee fraud rules active; anomalous employee activity generates alert with employee ID and branch details.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FR-C.03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monitor dormant account activation and flag unusual transactions on reactivated accounts.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Dormant account reactivation event triggers enhanced monitoring for 30 days (configurable).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FR-C.04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analyze batch transactions (salary credits, bulk transfers) for anomalies.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Batch transaction anomaly detection operational; unusual batch parameters flagged for review.</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FR-C.05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flag high-value cash transactions breaching configurable thresholds.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Cash transaction threshold configurable; breach generates alert and feeds into AML reporting.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FR-C.06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detect split transactions (structuring) designed to evade reporting thresholds.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Structuring pattern detection active across 24-hour rolling windows per customer and branch.</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FR-C.07</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monitor new account transactions for early fraud indicators.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New accounts (&lt; 90 days old, configurable) subject to enhanced monitoring rules.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FR-C.08</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identify transactions in accounts with pending KYC or compliance flags.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KYC status integrated from CBS; transactions in non-KYC-compliant accounts flagged automatically.</w:t>
            </w:r>
          </w:p>
        </w:tc>
      </w:tr>
    </w:tbl>
    <w:p>
      <w:pPr>
        <w:pStyle w:val="Heading2"/>
        <w:spacing w:after="80" w:before="240"/>
      </w:pPr>
      <w:r>
        <w:rPr>
          <w:rFonts w:ascii="Arial" w:cs="Arial" w:eastAsia="Arial" w:hAnsi="Arial"/>
          <w:b/>
          <w:bCs/>
          <w:color w:val="2E75B6"/>
          <w:sz w:val="28"/>
          <w:szCs w:val="28"/>
        </w:rPr>
        <w:t xml:space="preserve">3.4 Non-Financial Transaction Monitoring (Area D)</w:t>
      </w:r>
    </w:p>
    <w:p>
      <w:pPr>
        <w:spacing w:after="100"/>
      </w:pPr>
      <w:r>
        <w:rPr>
          <w:rFonts w:ascii="Arial" w:cs="Arial" w:eastAsia="Arial" w:hAnsi="Arial"/>
          <w:b w:val="false"/>
          <w:bCs w:val="false"/>
          <w:sz w:val="22"/>
          <w:szCs w:val="22"/>
        </w:rPr>
        <w:t xml:space="preserve">This module covers monitoring of non-monetary transactions such as PIN changes, master data modifications, locker operations, and cheque book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320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Req ID</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Requirement</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Acceptance Criteria</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FR-D.01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monitor and score non-financial transactions including PIN changes, mobile number updates, address changes, and nominee modifications.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Non-financial transaction event triggers risk scoring; high-risk events generate alerts before financial transactions are permitted.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FR-D.02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flag multiple non-financial changes within a configurable time window as potential account takeover indicators.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Configurable threshold (e.g., 3 non-financial changes in 24 hours) triggers account takeover alert.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FR-D.03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monitor locker access events and flag anomalous access patterns.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Locker access events ingested; anomalous frequency or off-hours access generates alert.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FR-D.04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detect fraudulent cheque book requests including requests from unusual channels or locations.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Cheque book requests compared against customer history; anomalies flagged for branch verification.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FR-D.05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correlate non-financial changes with subsequent financial transactions to detect orchestrated fraud.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Correlation window configurable; post-change financial transactions subject to enhanced risk scoring.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FR-D.06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generate step-up authentication challenges for high-risk non-financial transactions.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Step-up authentication triggered per configurable risk threshold; challenge type configurable (OTP, biometric).</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FR-D.07</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track and alert on changes to beneficiary master data.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Beneficiary addition/modification events scored; new beneficiary transactions subject to a configurable hold period.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FR-D.08</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integrate with bank's authentication systems to enforce step-up challenges in real 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Step-up challenge delivered and result received within transaction processing time window.</w:t>
            </w:r>
          </w:p>
        </w:tc>
      </w:tr>
    </w:tbl>
    <w:p>
      <w:pPr>
        <w:pStyle w:val="Heading2"/>
        <w:spacing w:after="80" w:before="240"/>
      </w:pPr>
      <w:r>
        <w:rPr>
          <w:rFonts w:ascii="Arial" w:cs="Arial" w:eastAsia="Arial" w:hAnsi="Arial"/>
          <w:b/>
          <w:bCs/>
          <w:color w:val="2E75B6"/>
          <w:sz w:val="28"/>
          <w:szCs w:val="28"/>
        </w:rPr>
        <w:t xml:space="preserve">3.5 Mobile and Internet Banking Fraud Detection (Area E)</w:t>
      </w:r>
    </w:p>
    <w:p>
      <w:pPr>
        <w:spacing w:after="100"/>
      </w:pPr>
      <w:r>
        <w:rPr>
          <w:rFonts w:ascii="Arial" w:cs="Arial" w:eastAsia="Arial" w:hAnsi="Arial"/>
          <w:b w:val="false"/>
          <w:bCs w:val="false"/>
          <w:sz w:val="22"/>
          <w:szCs w:val="22"/>
        </w:rPr>
        <w:t xml:space="preserve">This module covers pre-login and post-login monitoring for mobile and internet banking, phishing/MITM detection, IP geo-intelligence, and device fingerprinting.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320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Req ID</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Requirement</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Acceptance Criteria</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FR-E.01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monitor pre-login events on mobile and internet banking for credential stuffing, brute force, and bot activity.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Pre-login anomaly detection active; failed login pattern triggers account lockout or CAPTCHA per configurable threshold.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FR-E.02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monitor post-login session behavior for account takeover indicators (unusual actions, speed, navigation patterns).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Post-login session risk scoring operational; session anomaly triggers re-authentication or block.</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FR-E.03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detect phishing and Man-in-the-Middle (MITM) attack indicators.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Known phishing domains and MITM indicators monitored; alerts generated within 60 seconds of detection.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FR-E.04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perform IP geo-intelligence checks including country risk, VPN/proxy/TOR detection, and impossible travel detection.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IP reputation check adds enrichment to each session; impossible travel (configurable velocity) generates alert.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FR-E.05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maintain device fingerprints for registered and new devices.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Device fingerprint captured on first use; new/unregistered device triggers step-up authentication.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FR-E.06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detect device emulation, rooted/jailbroken devices, and malware-infected devices.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Device integrity check performed at session initiation; compromised device flags generate enhanced monitoring.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FR-E.07</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integrate with behavioral biometrics (keystroke dynamics, swipe pattern, touch pressure) to authenticate users continuously.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Behavioral biometric score integrated into session risk score; anomalous behavior triggers re-authentication.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FR-E.08</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detect SIM swap events by correlating with telecom data (DoT FRI/MNRL) and flag subsequent transactions.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SIM swap detection integrated; transactions post-SIM swap subject to enhanced monitoring for configurable period.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FR-E.09</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identify and block access from blacklisted IP addresses and known fraud networks.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IP blacklist check performed at session initiation; blacklisted IPs blocked or flagged.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FR-E.10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detect screen-sharing and remote access tool (RAT) activity during banking sessions.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Remote desktop / screen-share detection active; detected sessions trigger immediate block and alert.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FR-E.11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integrate with DoT FRI portal for real-time mobile fraud risk intelligence.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DoT FRI feed integrated; flagged numbers trigger enhanced monitoring on associated accounts.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FR-E.12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monitor for credential sharing across multiple devices or geographies.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Concurrent session detection active; simultaneous sessions from different geolocations trigger alert.</w:t>
            </w:r>
          </w:p>
        </w:tc>
      </w:tr>
    </w:tbl>
    <w:p>
      <w:pPr>
        <w:pStyle w:val="Heading2"/>
        <w:spacing w:after="80" w:before="240"/>
      </w:pPr>
      <w:r>
        <w:rPr>
          <w:rFonts w:ascii="Arial" w:cs="Arial" w:eastAsia="Arial" w:hAnsi="Arial"/>
          <w:b/>
          <w:bCs/>
          <w:color w:val="2E75B6"/>
          <w:sz w:val="28"/>
          <w:szCs w:val="28"/>
        </w:rPr>
        <w:t xml:space="preserve">3.6 AI/ML Engine (Area F)</w:t>
      </w:r>
    </w:p>
    <w:p>
      <w:pPr>
        <w:spacing w:after="100"/>
      </w:pPr>
      <w:r>
        <w:rPr>
          <w:rFonts w:ascii="Arial" w:cs="Arial" w:eastAsia="Arial" w:hAnsi="Arial"/>
          <w:b w:val="false"/>
          <w:bCs w:val="false"/>
          <w:sz w:val="22"/>
          <w:szCs w:val="22"/>
        </w:rPr>
        <w:t xml:space="preserve">This module covers the AI/ML platform requirements including model types, explainability, model lifecycle management, and self-learning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320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Req ID</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Requirement</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Acceptance Criteria</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FR-F.01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support supervised ML models for labeled fraud detection (card fraud, account takeover, mule accounts, SIM swap, etc.).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Supervised models trained on UPGB historical data; model performance report provided at go-live.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FR-F.02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support unsupervised models (clustering, anomaly detection) for identifying unknown fraud patterns.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Unsupervised model outputs reviewable in analytics dashboard; outlier clusters actionable as watchlist candidates.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FR-F.03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provide explainable AI (XAI) outputs for every model decision, including top contributing features and their values.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Every model-driven alert includes SHAP or equivalent feature importance values; reason codes are human-readable.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FR-F.04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maintain a model registry with version control, metadata, and performance history for all deployed models.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Model registry accessible via admin console; all deployed and retired model versions auditable.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FR-F.05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support A/B testing of new models against production models before full deployment.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A/B test configuration available; performance comparison report generated before production cutover.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FR-F.06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implement model drift detection and alert administrators when model performance degrades below configured thresholds.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Drift detection monitors precision/recall/F1 continuously; alert triggered when metric drops &gt; 5% from baseline.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FR-F.07</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support automated model retraining pipelines triggered by feedback volume or scheduled intervals.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Retraining pipeline completes without manual intervention; new model undergoes validation before deployment.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FR-F.08</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provide a self-learning risk engine that continuously incorporates new fraud patterns without full model rebuild.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Self-learning updates applied within 24 hours of feedback threshold being met; no downtime required.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FR-F.09</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support ensemble model techniques combining multiple model outputs for improved accuracy.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Ensemble model outperforms single-model baseline on UPGB validation dataset.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FR-F.10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allow business users to view model performance metrics (precision, recall, F1, false positive rate) on a dashboard.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Model performance dashboard accessible to authorized users; metrics updated daily.</w:t>
            </w:r>
          </w:p>
        </w:tc>
      </w:tr>
    </w:tbl>
    <w:p>
      <w:pPr>
        <w:pStyle w:val="Heading2"/>
        <w:spacing w:after="80" w:before="240"/>
      </w:pPr>
      <w:r>
        <w:rPr>
          <w:rFonts w:ascii="Arial" w:cs="Arial" w:eastAsia="Arial" w:hAnsi="Arial"/>
          <w:b/>
          <w:bCs/>
          <w:color w:val="2E75B6"/>
          <w:sz w:val="28"/>
          <w:szCs w:val="28"/>
        </w:rPr>
        <w:t xml:space="preserve">3.7 Customer Profiling, Network Analytics, and MIS (Area G)</w:t>
      </w:r>
    </w:p>
    <w:p>
      <w:pPr>
        <w:spacing w:after="100"/>
      </w:pPr>
      <w:r>
        <w:rPr>
          <w:rFonts w:ascii="Arial" w:cs="Arial" w:eastAsia="Arial" w:hAnsi="Arial"/>
          <w:b w:val="false"/>
          <w:bCs w:val="false"/>
          <w:sz w:val="22"/>
          <w:szCs w:val="22"/>
        </w:rPr>
        <w:t xml:space="preserve">This module covers comprehensive customer profiling, social network / link analysis, entity relationship mapping, dashboards, and custom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320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Req ID</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Requirement</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Acceptance Criteria</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FR-G.01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build and maintain a comprehensive customer profile integrating transactional, behavioral, demographic, device, and relationship data.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Customer profile updated in real time; profile accessible within investigation workspace; all data sources listed and auditable.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FR-G.02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provide entity link analysis to visualize relationships between accounts, devices, phone numbers, and beneficiaries.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Link analysis graph renders relationships up to 5 hops; entity clusters highlighted; graph exportable.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FR-G.03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implement social network analysis to detect fraud rings and mule networks.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Network analysis identifies connected entities sharing attributes (device, IP, address, phone); ring detection algorithm operational.</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FR-G.04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provide configurable operational dashboards for fraud analysts, supervisors, and management.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Dashboard roles configurable; widgets draggable; data refreshes every 60 seconds (configurable).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FR-G.05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generate pre-packaged regulatory reports in RBI/DFS-required formats.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All required RBI fraud reporting formats available; reports schedulable and auto-distributed.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FR-G.06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support ad-hoc report building with a drag-and-drop query builder accessible to non-technical users.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Non-technical user creates and exports a custom report within 15 minutes without IT support.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FR-G.07</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support export of all reports and dashboards to PDF, CSV, and Excel formats.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Export function available for all report types; exported file retains all data and formatting.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FR-G.08</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support integration with Power BI for advanced analytics and visualization.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Power BI connector certified; UPGB can connect to EFRM data layer from Power BI Desktop.</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FR-G.09</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provide a channel-wise risk heat map for management monitoring.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Heat map shows real-time fraud risk by channel, geography, and time; drill-down to individual alerts available.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FR-G.10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track and report on KPIs: false positive rate, mean time to detect (MTTD), mean time to resolve (MTTR), fraud loss prevented.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KPI dashboard available; all metrics calculated from system data; historical trend visible for 12 months.</w:t>
            </w:r>
          </w:p>
        </w:tc>
      </w:tr>
    </w:tbl>
    <w:p>
      <w:pPr>
        <w:pStyle w:val="Heading2"/>
        <w:spacing w:after="80" w:before="240"/>
      </w:pPr>
      <w:r>
        <w:rPr>
          <w:rFonts w:ascii="Arial" w:cs="Arial" w:eastAsia="Arial" w:hAnsi="Arial"/>
          <w:b/>
          <w:bCs/>
          <w:color w:val="2E75B6"/>
          <w:sz w:val="28"/>
          <w:szCs w:val="28"/>
        </w:rPr>
        <w:t xml:space="preserve">3.8 Channel-Specific Fraud Detection (Area H)</w:t>
      </w:r>
    </w:p>
    <w:p>
      <w:pPr>
        <w:spacing w:after="100"/>
      </w:pPr>
      <w:r>
        <w:rPr>
          <w:rFonts w:ascii="Arial" w:cs="Arial" w:eastAsia="Arial" w:hAnsi="Arial"/>
          <w:b w:val="false"/>
          <w:bCs w:val="false"/>
          <w:sz w:val="22"/>
          <w:szCs w:val="22"/>
        </w:rPr>
        <w:t xml:space="preserve">This module covers fraud detection specific to individual payment channels and mule account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320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Req ID</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Requirement</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Acceptance Criteria</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FR-H.01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detect card-not-present (CNP) fraud for e-commerce and internet banking card transactions.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CNP fraud model active; suspicious CNP transactions flagged with risk score before authorization.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FR-H.02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detect card-present fraud at ATMs including card skimming, card trapping, and unusual withdrawal patterns.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ATM transaction risk scoring active; skimming detection patterns configured for UPGB ATM network.</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FR-H.03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detect UPI fraud including unauthorized mandate creation, phishing-induced UPI payments, and QR code fraud.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UPI-specific fraud scenarios active; mandate fraud and QR fraud patterns detectable at go-live.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FR-H.04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detect AEPS fraud including biometric cloning, unauthorized AEPS withdrawals, and micro-ATM fraud.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AEPS fraud detection active; biometric anomaly patterns flagged; AEPS velocity limits enforced.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FR-H.05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detect IMPS fraud including unauthorized fund transfers and beneficiary manipulation.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IMPS real-time scoring active; first-use beneficiary transactions subject to enhanced scrutiny.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FR-H.06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detect NEFT/RTGS fraud including high-value unauthorized transfers and beneficiary fraud.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NEFT/RTGS scoring active; high-value transactions trigger enhanced review workflow.</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FR-H.07</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detect BBPS fraud including bill payment fraud and account credential misuse.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BBPS transaction monitoring active; suspicious biller payees flagged.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FR-H.08</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detect mule account activity by identifying accounts receiving and immediately forwarding funds.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Mule detection algorithm operational; accounts exhibiting fund-forwarding patterns flagged and queued for investigation.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FR-H.09</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maintain and check accounts against internal and external mule account blacklists.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Mule blacklist check integrated into real-time scoring; blacklisted beneficiary triggers alert and block.</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FR-H.10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detect first-party fraud patterns including false claims, deliberate chargebacks, and identity manipulation.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First-party fraud model active; patterns detectable from CBS and channel data.</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FR-H.11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monitor call centre / IVRS transactions for voice phishing (vishing) and social engineering fraud.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IVRS call metadata ingested; vishing patterns and unusual IVRS-initiated transactions flagged.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FR-H.12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enforce configurable transaction limits and cooling-off periods post-non-financial changes per channel.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Per-channel limits and cooling-off periods configurable; enforced automatically in real time.</w:t>
            </w:r>
          </w:p>
        </w:tc>
      </w:tr>
    </w:tbl>
    <w:p>
      <w:pPr>
        <w:pStyle w:val="Heading2"/>
        <w:spacing w:after="80" w:before="240"/>
      </w:pPr>
      <w:r>
        <w:rPr>
          <w:rFonts w:ascii="Arial" w:cs="Arial" w:eastAsia="Arial" w:hAnsi="Arial"/>
          <w:b/>
          <w:bCs/>
          <w:color w:val="2E75B6"/>
          <w:sz w:val="28"/>
          <w:szCs w:val="28"/>
        </w:rPr>
        <w:t xml:space="preserve">3.9 Technical Platform and Security (Area I)</w:t>
      </w:r>
    </w:p>
    <w:p>
      <w:pPr>
        <w:spacing w:after="100"/>
      </w:pPr>
      <w:r>
        <w:rPr>
          <w:rFonts w:ascii="Arial" w:cs="Arial" w:eastAsia="Arial" w:hAnsi="Arial"/>
          <w:b w:val="false"/>
          <w:bCs w:val="false"/>
          <w:sz w:val="22"/>
          <w:szCs w:val="22"/>
        </w:rPr>
        <w:t xml:space="preserve">This module covers platform-level technical requirements: architecture, scalability, encryption, data management, security compliance, and integration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320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Req ID</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Requirement</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Acceptance Criteria</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FR-I.01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be platform-agnostic and deployable on the bank's existing infrastructure (AMBAR private cloud) or containerized environment (Kubernetes).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Deployment guide provided for UPGB's AMBAR environment; containerized deployment tested and documented.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FR-I.02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encrypt all data in transit using TLS 1.2 or higher and data at rest using AES-256.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TLS 1.2+ verified on all endpoints; AES-256 encryption confirmed for all data stores via security audit.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FR-I.03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use Hardware Security Modules (HSM) for cryptographic key management.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HSM integration tested; key management procedures documented; key rotation supported.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FR-I.04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maintain data archival with configurable retention periods (minimum 7 years for fraud records).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Archival policy configurable; archived records retrievable within 30 seconds; deletion workflows compliant with data protection regulations.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FR-I.05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support horizontal scaling to handle peak TPS growth without architectural changes.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System scales to 10,000 TPS with node addition only; auto-scaling rules configurable.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FR-I.06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achieve 99.90% uptime for core detection services, measured monthly.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Uptime monitored and reported monthly; maintenance windows excluded per agreed schedule.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FR-I.07</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provide RESTful APIs for transaction ingestion, alert queries, case management, and model management.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API documentation (OpenAPI 3.0) provided; all endpoints tested with UPGB integration team.</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FR-I.08</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support OAuth 2.0 / JWT authentication for all API access with rate limiting.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OAuth 2.0 implemented; API rate limits configurable per consumer; unauthorized access logged and alerted.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FR-I.09</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integrate with UPGB's LDAP/Active Directory for user authentication and single sign-on.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LDAP/AD integration tested; SSO functional; user provisioning and de-provisioning automated.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FR-I.10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implement Role-Based Access Control (RBAC) with segregation of duties.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RBAC matrix provided; investigator cannot access admin functions; supervisor can view all investigator cases.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FR-I.11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comply with VAPT requirements; VAPT reports provided pre-go-live and annually.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VAPT conducted by approved vendor; all critical/high findings remediated before go-live.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FR-I.12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comply with OWASP Top 10 vulnerabilities.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OWASP compliance report provided; no OWASP Top 10 vulnerability present in production.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FR-I.13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support centralized, structured logging with SIEM integration.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Structured logs in JSON format; SIEM integration tested with UPGB's SIEM; correlation rules provided.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FR-I.14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provide real-time health monitoring dashboards for infrastructure and application components.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Health dashboard shows component status, latency, throughput, and error rates; alerting on threshold breach.</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1F4E79"/>
                <w:sz w:val="20"/>
                <w:szCs w:val="20"/>
              </w:rPr>
              <w:t xml:space="preserve">FR-I.15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The system shall support ISO 27001 and PCI-DSS compliance and provide required evidence artifacts.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Compliance evidence artifacts (policies, control mappings, audit logs) provided for each standard.</w:t>
            </w:r>
          </w:p>
        </w:tc>
      </w:tr>
    </w:tbl>
    <w:p>
      <w:r>
        <w:br w:type="page"/>
      </w:r>
    </w:p>
    <w:p>
      <w:pPr>
        <w:pStyle w:val="Heading1"/>
        <w:spacing w:after="120" w:before="360"/>
      </w:pPr>
      <w:r>
        <w:rPr>
          <w:rFonts w:ascii="Arial" w:cs="Arial" w:eastAsia="Arial" w:hAnsi="Arial"/>
          <w:b/>
          <w:bCs/>
          <w:color w:val="1F4E79"/>
          <w:sz w:val="36"/>
          <w:szCs w:val="36"/>
        </w:rPr>
        <w:t xml:space="preserve">4. Non-Functional Requirements</w:t>
      </w:r>
    </w:p>
    <w:p>
      <w:pPr>
        <w:pStyle w:val="Heading2"/>
        <w:spacing w:after="80" w:before="240"/>
      </w:pPr>
      <w:r>
        <w:rPr>
          <w:rFonts w:ascii="Arial" w:cs="Arial" w:eastAsia="Arial" w:hAnsi="Arial"/>
          <w:b/>
          <w:bCs/>
          <w:color w:val="2E75B6"/>
          <w:sz w:val="28"/>
          <w:szCs w:val="28"/>
        </w:rPr>
        <w:t xml:space="preserve">4.1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Metric</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Target</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Measurement Method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Real-time scoring latency</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 100ms (P95)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Load test at 5,000 TPS peak</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Case management response time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 3 seconds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Concurrent user load test (150 users)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Alert retrieval time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 2 seconds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Query performance test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Archived case retrieval</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 30 seconds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Archive retrieval test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Batch report generation</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 10 minutes for daily MIS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Scheduled job execution time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System throughput (peak)</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5,000 TPS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Sustained load test (30 minutes)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System throughput (burst)</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10,000 TPS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Burst load test (5 minutes)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Dashboard refresh latency</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 60 seconds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Dashboard load time measurement</w:t>
            </w:r>
          </w:p>
        </w:tc>
      </w:tr>
    </w:tbl>
    <w:p>
      <w:pPr>
        <w:pStyle w:val="Heading2"/>
        <w:spacing w:after="80" w:before="240"/>
      </w:pPr>
      <w:r>
        <w:rPr>
          <w:rFonts w:ascii="Arial" w:cs="Arial" w:eastAsia="Arial" w:hAnsi="Arial"/>
          <w:b/>
          <w:bCs/>
          <w:color w:val="2E75B6"/>
          <w:sz w:val="28"/>
          <w:szCs w:val="28"/>
        </w:rPr>
        <w:t xml:space="preserve">4.2 Availability and Reliability</w:t>
      </w:r>
    </w:p>
    <w:p>
      <w:pPr>
        <w:pStyle w:val="ListParagraph"/>
        <w:numPr>
          <w:ilvl w:val="0"/>
          <w:numId w:val="2"/>
        </w:numPr>
        <w:spacing w:after="60"/>
      </w:pPr>
      <w:r>
        <w:rPr>
          <w:rFonts w:ascii="Arial" w:cs="Arial" w:eastAsia="Arial" w:hAnsi="Arial"/>
          <w:sz w:val="22"/>
          <w:szCs w:val="22"/>
        </w:rPr>
        <w:t xml:space="preserve">System uptime: ≥ 99.90% for core detection services, measured monthly</w:t>
      </w:r>
    </w:p>
    <w:p>
      <w:pPr>
        <w:pStyle w:val="ListParagraph"/>
        <w:numPr>
          <w:ilvl w:val="0"/>
          <w:numId w:val="2"/>
        </w:numPr>
        <w:spacing w:after="60"/>
      </w:pPr>
      <w:r>
        <w:rPr>
          <w:rFonts w:ascii="Arial" w:cs="Arial" w:eastAsia="Arial" w:hAnsi="Arial"/>
          <w:sz w:val="22"/>
          <w:szCs w:val="22"/>
        </w:rPr>
        <w:t xml:space="preserve">Recovery Time Objective (RTO): ≤ 120 minutes for full DR failover</w:t>
      </w:r>
    </w:p>
    <w:p>
      <w:pPr>
        <w:pStyle w:val="ListParagraph"/>
        <w:numPr>
          <w:ilvl w:val="0"/>
          <w:numId w:val="2"/>
        </w:numPr>
        <w:spacing w:after="60"/>
      </w:pPr>
      <w:r>
        <w:rPr>
          <w:rFonts w:ascii="Arial" w:cs="Arial" w:eastAsia="Arial" w:hAnsi="Arial"/>
          <w:sz w:val="22"/>
          <w:szCs w:val="22"/>
        </w:rPr>
        <w:t xml:space="preserve">Recovery Point Objective (RPO): ≤ 10 minutes (near-zero data loss)</w:t>
      </w:r>
    </w:p>
    <w:p>
      <w:pPr>
        <w:pStyle w:val="ListParagraph"/>
        <w:numPr>
          <w:ilvl w:val="0"/>
          <w:numId w:val="2"/>
        </w:numPr>
        <w:spacing w:after="60"/>
      </w:pPr>
      <w:r>
        <w:rPr>
          <w:rFonts w:ascii="Arial" w:cs="Arial" w:eastAsia="Arial" w:hAnsi="Arial"/>
          <w:sz w:val="22"/>
          <w:szCs w:val="22"/>
        </w:rPr>
        <w:t xml:space="preserve">Planned maintenance windows: ≤ 4 hours per month, scheduled during off-peak hours</w:t>
      </w:r>
    </w:p>
    <w:p>
      <w:pPr>
        <w:pStyle w:val="ListParagraph"/>
        <w:numPr>
          <w:ilvl w:val="0"/>
          <w:numId w:val="2"/>
        </w:numPr>
        <w:spacing w:after="60"/>
      </w:pPr>
      <w:r>
        <w:rPr>
          <w:rFonts w:ascii="Arial" w:cs="Arial" w:eastAsia="Arial" w:hAnsi="Arial"/>
          <w:sz w:val="22"/>
          <w:szCs w:val="22"/>
        </w:rPr>
        <w:t xml:space="preserve">DR drills: Minimum twice annually; drill results documented and reviewed</w:t>
      </w:r>
    </w:p>
    <w:p>
      <w:pPr>
        <w:pStyle w:val="ListParagraph"/>
        <w:numPr>
          <w:ilvl w:val="0"/>
          <w:numId w:val="2"/>
        </w:numPr>
        <w:spacing w:after="60"/>
      </w:pPr>
      <w:r>
        <w:rPr>
          <w:rFonts w:ascii="Arial" w:cs="Arial" w:eastAsia="Arial" w:hAnsi="Arial"/>
          <w:sz w:val="22"/>
          <w:szCs w:val="22"/>
        </w:rPr>
        <w:t xml:space="preserve">Health monitoring: 24x7 automated monitoring with PagerDuty-style escalation</w:t>
      </w:r>
    </w:p>
    <w:p>
      <w:pPr>
        <w:pStyle w:val="Heading2"/>
        <w:spacing w:after="80" w:before="240"/>
      </w:pPr>
      <w:r>
        <w:rPr>
          <w:rFonts w:ascii="Arial" w:cs="Arial" w:eastAsia="Arial" w:hAnsi="Arial"/>
          <w:b/>
          <w:bCs/>
          <w:color w:val="2E75B6"/>
          <w:sz w:val="28"/>
          <w:szCs w:val="28"/>
        </w:rPr>
        <w:t xml:space="preserve">4.3 Scalability</w:t>
      </w:r>
    </w:p>
    <w:p>
      <w:pPr>
        <w:pStyle w:val="ListParagraph"/>
        <w:numPr>
          <w:ilvl w:val="0"/>
          <w:numId w:val="2"/>
        </w:numPr>
        <w:spacing w:after="60"/>
      </w:pPr>
      <w:r>
        <w:rPr>
          <w:rFonts w:ascii="Arial" w:cs="Arial" w:eastAsia="Arial" w:hAnsi="Arial"/>
          <w:sz w:val="22"/>
          <w:szCs w:val="22"/>
        </w:rPr>
        <w:t xml:space="preserve">Horizontal scaling: Add compute nodes without architectural change or downtime</w:t>
      </w:r>
    </w:p>
    <w:p>
      <w:pPr>
        <w:pStyle w:val="ListParagraph"/>
        <w:numPr>
          <w:ilvl w:val="0"/>
          <w:numId w:val="2"/>
        </w:numPr>
        <w:spacing w:after="60"/>
      </w:pPr>
      <w:r>
        <w:rPr>
          <w:rFonts w:ascii="Arial" w:cs="Arial" w:eastAsia="Arial" w:hAnsi="Arial"/>
          <w:sz w:val="22"/>
          <w:szCs w:val="22"/>
        </w:rPr>
        <w:t xml:space="preserve">Transaction volume: Support 5x growth in transaction volume over contract period</w:t>
      </w:r>
    </w:p>
    <w:p>
      <w:pPr>
        <w:pStyle w:val="ListParagraph"/>
        <w:numPr>
          <w:ilvl w:val="0"/>
          <w:numId w:val="2"/>
        </w:numPr>
        <w:spacing w:after="60"/>
      </w:pPr>
      <w:r>
        <w:rPr>
          <w:rFonts w:ascii="Arial" w:cs="Arial" w:eastAsia="Arial" w:hAnsi="Arial"/>
          <w:sz w:val="22"/>
          <w:szCs w:val="22"/>
        </w:rPr>
        <w:t xml:space="preserve">User scaling: Support up to 500 concurrent users without additional licensing costs</w:t>
      </w:r>
    </w:p>
    <w:p>
      <w:pPr>
        <w:pStyle w:val="ListParagraph"/>
        <w:numPr>
          <w:ilvl w:val="0"/>
          <w:numId w:val="2"/>
        </w:numPr>
        <w:spacing w:after="60"/>
      </w:pPr>
      <w:r>
        <w:rPr>
          <w:rFonts w:ascii="Arial" w:cs="Arial" w:eastAsia="Arial" w:hAnsi="Arial"/>
          <w:sz w:val="22"/>
          <w:szCs w:val="22"/>
        </w:rPr>
        <w:t xml:space="preserve">Data scaling: Handle 5+ years of transaction data without performance degradation</w:t>
      </w:r>
    </w:p>
    <w:p>
      <w:pPr>
        <w:pStyle w:val="ListParagraph"/>
        <w:numPr>
          <w:ilvl w:val="0"/>
          <w:numId w:val="2"/>
        </w:numPr>
        <w:spacing w:after="60"/>
      </w:pPr>
      <w:r>
        <w:rPr>
          <w:rFonts w:ascii="Arial" w:cs="Arial" w:eastAsia="Arial" w:hAnsi="Arial"/>
          <w:sz w:val="22"/>
          <w:szCs w:val="22"/>
        </w:rPr>
        <w:t xml:space="preserve">Model scaling: Deploy multiple ML models without performance overhead</w:t>
      </w:r>
    </w:p>
    <w:p>
      <w:pPr>
        <w:pStyle w:val="Heading2"/>
        <w:spacing w:after="80" w:before="240"/>
      </w:pPr>
      <w:r>
        <w:rPr>
          <w:rFonts w:ascii="Arial" w:cs="Arial" w:eastAsia="Arial" w:hAnsi="Arial"/>
          <w:b/>
          <w:bCs/>
          <w:color w:val="2E75B6"/>
          <w:sz w:val="28"/>
          <w:szCs w:val="28"/>
        </w:rPr>
        <w:t xml:space="preserve">4.4 Security</w:t>
      </w:r>
    </w:p>
    <w:p>
      <w:pPr>
        <w:pStyle w:val="ListParagraph"/>
        <w:numPr>
          <w:ilvl w:val="0"/>
          <w:numId w:val="2"/>
        </w:numPr>
        <w:spacing w:after="60"/>
      </w:pPr>
      <w:r>
        <w:rPr>
          <w:rFonts w:ascii="Arial" w:cs="Arial" w:eastAsia="Arial" w:hAnsi="Arial"/>
          <w:sz w:val="22"/>
          <w:szCs w:val="22"/>
        </w:rPr>
        <w:t xml:space="preserve">Encryption in transit: TLS 1.2 or higher on all communication channels</w:t>
      </w:r>
    </w:p>
    <w:p>
      <w:pPr>
        <w:pStyle w:val="ListParagraph"/>
        <w:numPr>
          <w:ilvl w:val="0"/>
          <w:numId w:val="2"/>
        </w:numPr>
        <w:spacing w:after="60"/>
      </w:pPr>
      <w:r>
        <w:rPr>
          <w:rFonts w:ascii="Arial" w:cs="Arial" w:eastAsia="Arial" w:hAnsi="Arial"/>
          <w:sz w:val="22"/>
          <w:szCs w:val="22"/>
        </w:rPr>
        <w:t xml:space="preserve">Encryption at rest: AES-256 for all data stores including backups</w:t>
      </w:r>
    </w:p>
    <w:p>
      <w:pPr>
        <w:pStyle w:val="ListParagraph"/>
        <w:numPr>
          <w:ilvl w:val="0"/>
          <w:numId w:val="2"/>
        </w:numPr>
        <w:spacing w:after="60"/>
      </w:pPr>
      <w:r>
        <w:rPr>
          <w:rFonts w:ascii="Arial" w:cs="Arial" w:eastAsia="Arial" w:hAnsi="Arial"/>
          <w:sz w:val="22"/>
          <w:szCs w:val="22"/>
        </w:rPr>
        <w:t xml:space="preserve">Key management: HSM-based; key rotation supported; key access audited</w:t>
      </w:r>
    </w:p>
    <w:p>
      <w:pPr>
        <w:pStyle w:val="ListParagraph"/>
        <w:numPr>
          <w:ilvl w:val="0"/>
          <w:numId w:val="2"/>
        </w:numPr>
        <w:spacing w:after="60"/>
      </w:pPr>
      <w:r>
        <w:rPr>
          <w:rFonts w:ascii="Arial" w:cs="Arial" w:eastAsia="Arial" w:hAnsi="Arial"/>
          <w:sz w:val="22"/>
          <w:szCs w:val="22"/>
        </w:rPr>
        <w:t xml:space="preserve">Authentication: MFA for all system users; SSO via LDAP/AD</w:t>
      </w:r>
    </w:p>
    <w:p>
      <w:pPr>
        <w:pStyle w:val="ListParagraph"/>
        <w:numPr>
          <w:ilvl w:val="0"/>
          <w:numId w:val="2"/>
        </w:numPr>
        <w:spacing w:after="60"/>
      </w:pPr>
      <w:r>
        <w:rPr>
          <w:rFonts w:ascii="Arial" w:cs="Arial" w:eastAsia="Arial" w:hAnsi="Arial"/>
          <w:sz w:val="22"/>
          <w:szCs w:val="22"/>
        </w:rPr>
        <w:t xml:space="preserve">Session management: Configurable session timeout; concurrent session controls</w:t>
      </w:r>
    </w:p>
    <w:p>
      <w:pPr>
        <w:pStyle w:val="ListParagraph"/>
        <w:numPr>
          <w:ilvl w:val="0"/>
          <w:numId w:val="2"/>
        </w:numPr>
        <w:spacing w:after="60"/>
      </w:pPr>
      <w:r>
        <w:rPr>
          <w:rFonts w:ascii="Arial" w:cs="Arial" w:eastAsia="Arial" w:hAnsi="Arial"/>
          <w:sz w:val="22"/>
          <w:szCs w:val="22"/>
        </w:rPr>
        <w:t xml:space="preserve">VAPT: Annual penetration testing by CERT-IN empanelled vendor; critical findings remediated within 30 days</w:t>
      </w:r>
    </w:p>
    <w:p>
      <w:pPr>
        <w:pStyle w:val="ListParagraph"/>
        <w:numPr>
          <w:ilvl w:val="0"/>
          <w:numId w:val="2"/>
        </w:numPr>
        <w:spacing w:after="60"/>
      </w:pPr>
      <w:r>
        <w:rPr>
          <w:rFonts w:ascii="Arial" w:cs="Arial" w:eastAsia="Arial" w:hAnsi="Arial"/>
          <w:sz w:val="22"/>
          <w:szCs w:val="22"/>
        </w:rPr>
        <w:t xml:space="preserve">Vulnerability management: Monthly vulnerability scans; patch SLA: critical ≤ 7 days, high ≤ 30 days</w:t>
      </w:r>
    </w:p>
    <w:p>
      <w:pPr>
        <w:pStyle w:val="ListParagraph"/>
        <w:numPr>
          <w:ilvl w:val="0"/>
          <w:numId w:val="2"/>
        </w:numPr>
        <w:spacing w:after="60"/>
      </w:pPr>
      <w:r>
        <w:rPr>
          <w:rFonts w:ascii="Arial" w:cs="Arial" w:eastAsia="Arial" w:hAnsi="Arial"/>
          <w:sz w:val="22"/>
          <w:szCs w:val="22"/>
        </w:rPr>
        <w:t xml:space="preserve">Source code: Source code audit report provided; escrow arrangement per RFP terms</w:t>
      </w:r>
    </w:p>
    <w:p>
      <w:pPr>
        <w:pStyle w:val="Heading2"/>
        <w:spacing w:after="80" w:before="240"/>
      </w:pPr>
      <w:r>
        <w:rPr>
          <w:rFonts w:ascii="Arial" w:cs="Arial" w:eastAsia="Arial" w:hAnsi="Arial"/>
          <w:b/>
          <w:bCs/>
          <w:color w:val="2E75B6"/>
          <w:sz w:val="28"/>
          <w:szCs w:val="28"/>
        </w:rPr>
        <w:t xml:space="preserve">4.5 Compliance</w:t>
      </w:r>
    </w:p>
    <w:p>
      <w:pPr>
        <w:pStyle w:val="ListParagraph"/>
        <w:numPr>
          <w:ilvl w:val="0"/>
          <w:numId w:val="2"/>
        </w:numPr>
        <w:spacing w:after="60"/>
      </w:pPr>
      <w:r>
        <w:rPr>
          <w:rFonts w:ascii="Arial" w:cs="Arial" w:eastAsia="Arial" w:hAnsi="Arial"/>
          <w:sz w:val="22"/>
          <w:szCs w:val="22"/>
        </w:rPr>
        <w:t xml:space="preserve">RBI Cyber Security Framework and Guidelines</w:t>
      </w:r>
    </w:p>
    <w:p>
      <w:pPr>
        <w:pStyle w:val="ListParagraph"/>
        <w:numPr>
          <w:ilvl w:val="0"/>
          <w:numId w:val="2"/>
        </w:numPr>
        <w:spacing w:after="60"/>
      </w:pPr>
      <w:r>
        <w:rPr>
          <w:rFonts w:ascii="Arial" w:cs="Arial" w:eastAsia="Arial" w:hAnsi="Arial"/>
          <w:sz w:val="22"/>
          <w:szCs w:val="22"/>
        </w:rPr>
        <w:t xml:space="preserve">RBI Guidelines on Fraud Classification and Reporting</w:t>
      </w:r>
    </w:p>
    <w:p>
      <w:pPr>
        <w:pStyle w:val="ListParagraph"/>
        <w:numPr>
          <w:ilvl w:val="0"/>
          <w:numId w:val="2"/>
        </w:numPr>
        <w:spacing w:after="60"/>
      </w:pPr>
      <w:r>
        <w:rPr>
          <w:rFonts w:ascii="Arial" w:cs="Arial" w:eastAsia="Arial" w:hAnsi="Arial"/>
          <w:sz w:val="22"/>
          <w:szCs w:val="22"/>
        </w:rPr>
        <w:t xml:space="preserve">RBI Authentication Direction 2025 (Risk-Based / Step-Up Authentication)</w:t>
      </w:r>
    </w:p>
    <w:p>
      <w:pPr>
        <w:pStyle w:val="ListParagraph"/>
        <w:numPr>
          <w:ilvl w:val="0"/>
          <w:numId w:val="2"/>
        </w:numPr>
        <w:spacing w:after="60"/>
      </w:pPr>
      <w:r>
        <w:rPr>
          <w:rFonts w:ascii="Arial" w:cs="Arial" w:eastAsia="Arial" w:hAnsi="Arial"/>
          <w:sz w:val="22"/>
          <w:szCs w:val="22"/>
        </w:rPr>
        <w:t xml:space="preserve">RBI KYC / AML / CTF guidelines</w:t>
      </w:r>
    </w:p>
    <w:p>
      <w:pPr>
        <w:pStyle w:val="ListParagraph"/>
        <w:numPr>
          <w:ilvl w:val="0"/>
          <w:numId w:val="2"/>
        </w:numPr>
        <w:spacing w:after="60"/>
      </w:pPr>
      <w:r>
        <w:rPr>
          <w:rFonts w:ascii="Arial" w:cs="Arial" w:eastAsia="Arial" w:hAnsi="Arial"/>
          <w:sz w:val="22"/>
          <w:szCs w:val="22"/>
        </w:rPr>
        <w:t xml:space="preserve">Digital Personal Data Protection Act, 2023 (data localization and retention)</w:t>
      </w:r>
    </w:p>
    <w:p>
      <w:pPr>
        <w:pStyle w:val="ListParagraph"/>
        <w:numPr>
          <w:ilvl w:val="0"/>
          <w:numId w:val="2"/>
        </w:numPr>
        <w:spacing w:after="60"/>
      </w:pPr>
      <w:r>
        <w:rPr>
          <w:rFonts w:ascii="Arial" w:cs="Arial" w:eastAsia="Arial" w:hAnsi="Arial"/>
          <w:sz w:val="22"/>
          <w:szCs w:val="22"/>
        </w:rPr>
        <w:t xml:space="preserve">ISO/IEC 27001:2022 Information Security Management</w:t>
      </w:r>
    </w:p>
    <w:p>
      <w:pPr>
        <w:pStyle w:val="ListParagraph"/>
        <w:numPr>
          <w:ilvl w:val="0"/>
          <w:numId w:val="2"/>
        </w:numPr>
        <w:spacing w:after="60"/>
      </w:pPr>
      <w:r>
        <w:rPr>
          <w:rFonts w:ascii="Arial" w:cs="Arial" w:eastAsia="Arial" w:hAnsi="Arial"/>
          <w:sz w:val="22"/>
          <w:szCs w:val="22"/>
        </w:rPr>
        <w:t xml:space="preserve">PCI-DSS v4.0 (card data handling)</w:t>
      </w:r>
    </w:p>
    <w:p>
      <w:pPr>
        <w:pStyle w:val="ListParagraph"/>
        <w:numPr>
          <w:ilvl w:val="0"/>
          <w:numId w:val="2"/>
        </w:numPr>
        <w:spacing w:after="60"/>
      </w:pPr>
      <w:r>
        <w:rPr>
          <w:rFonts w:ascii="Arial" w:cs="Arial" w:eastAsia="Arial" w:hAnsi="Arial"/>
          <w:sz w:val="22"/>
          <w:szCs w:val="22"/>
        </w:rPr>
        <w:t xml:space="preserve">OWASP Top 10 Web Application Security Risks</w:t>
      </w:r>
    </w:p>
    <w:p>
      <w:pPr>
        <w:pStyle w:val="ListParagraph"/>
        <w:numPr>
          <w:ilvl w:val="0"/>
          <w:numId w:val="2"/>
        </w:numPr>
        <w:spacing w:after="60"/>
      </w:pPr>
      <w:r>
        <w:rPr>
          <w:rFonts w:ascii="Arial" w:cs="Arial" w:eastAsia="Arial" w:hAnsi="Arial"/>
          <w:sz w:val="22"/>
          <w:szCs w:val="22"/>
        </w:rPr>
        <w:t xml:space="preserve">CERT-In Directions 2022 (logging and incident reporting)</w:t>
      </w:r>
    </w:p>
    <w:p>
      <w:pPr>
        <w:pStyle w:val="ListParagraph"/>
        <w:numPr>
          <w:ilvl w:val="0"/>
          <w:numId w:val="2"/>
        </w:numPr>
        <w:spacing w:after="60"/>
      </w:pPr>
      <w:r>
        <w:rPr>
          <w:rFonts w:ascii="Arial" w:cs="Arial" w:eastAsia="Arial" w:hAnsi="Arial"/>
          <w:sz w:val="22"/>
          <w:szCs w:val="22"/>
        </w:rPr>
        <w:t xml:space="preserve">IT Act 2000 and amendments (lawful interception compliance)</w:t>
      </w:r>
    </w:p>
    <w:p>
      <w:pPr>
        <w:pStyle w:val="Heading2"/>
        <w:spacing w:after="80" w:before="240"/>
      </w:pPr>
      <w:r>
        <w:rPr>
          <w:rFonts w:ascii="Arial" w:cs="Arial" w:eastAsia="Arial" w:hAnsi="Arial"/>
          <w:b/>
          <w:bCs/>
          <w:color w:val="2E75B6"/>
          <w:sz w:val="28"/>
          <w:szCs w:val="28"/>
        </w:rPr>
        <w:t xml:space="preserve">4.6 Data Retention and Archival</w:t>
      </w:r>
    </w:p>
    <w:p>
      <w:pPr>
        <w:pStyle w:val="ListParagraph"/>
        <w:numPr>
          <w:ilvl w:val="0"/>
          <w:numId w:val="2"/>
        </w:numPr>
        <w:spacing w:after="60"/>
      </w:pPr>
      <w:r>
        <w:rPr>
          <w:rFonts w:ascii="Arial" w:cs="Arial" w:eastAsia="Arial" w:hAnsi="Arial"/>
          <w:sz w:val="22"/>
          <w:szCs w:val="22"/>
        </w:rPr>
        <w:t xml:space="preserve">Fraud records: Minimum 7 years (configurable)</w:t>
      </w:r>
    </w:p>
    <w:p>
      <w:pPr>
        <w:pStyle w:val="ListParagraph"/>
        <w:numPr>
          <w:ilvl w:val="0"/>
          <w:numId w:val="2"/>
        </w:numPr>
        <w:spacing w:after="60"/>
      </w:pPr>
      <w:r>
        <w:rPr>
          <w:rFonts w:ascii="Arial" w:cs="Arial" w:eastAsia="Arial" w:hAnsi="Arial"/>
          <w:sz w:val="22"/>
          <w:szCs w:val="22"/>
        </w:rPr>
        <w:t xml:space="preserve">Audit logs: Minimum 5 years (configurable)</w:t>
      </w:r>
    </w:p>
    <w:p>
      <w:pPr>
        <w:pStyle w:val="ListParagraph"/>
        <w:numPr>
          <w:ilvl w:val="0"/>
          <w:numId w:val="2"/>
        </w:numPr>
        <w:spacing w:after="60"/>
      </w:pPr>
      <w:r>
        <w:rPr>
          <w:rFonts w:ascii="Arial" w:cs="Arial" w:eastAsia="Arial" w:hAnsi="Arial"/>
          <w:sz w:val="22"/>
          <w:szCs w:val="22"/>
        </w:rPr>
        <w:t xml:space="preserve">Model training data: Minimum 3 years (configurable)</w:t>
      </w:r>
    </w:p>
    <w:p>
      <w:pPr>
        <w:pStyle w:val="ListParagraph"/>
        <w:numPr>
          <w:ilvl w:val="0"/>
          <w:numId w:val="2"/>
        </w:numPr>
        <w:spacing w:after="60"/>
      </w:pPr>
      <w:r>
        <w:rPr>
          <w:rFonts w:ascii="Arial" w:cs="Arial" w:eastAsia="Arial" w:hAnsi="Arial"/>
          <w:sz w:val="22"/>
          <w:szCs w:val="22"/>
        </w:rPr>
        <w:t xml:space="preserve">Archived data retrieval: ≤ 30 seconds for individual records</w:t>
      </w:r>
    </w:p>
    <w:p>
      <w:pPr>
        <w:pStyle w:val="ListParagraph"/>
        <w:numPr>
          <w:ilvl w:val="0"/>
          <w:numId w:val="2"/>
        </w:numPr>
        <w:spacing w:after="60"/>
      </w:pPr>
      <w:r>
        <w:rPr>
          <w:rFonts w:ascii="Arial" w:cs="Arial" w:eastAsia="Arial" w:hAnsi="Arial"/>
          <w:sz w:val="22"/>
          <w:szCs w:val="22"/>
        </w:rPr>
        <w:t xml:space="preserve">Data deletion: Secure deletion workflows compliant with DPDP Act 2023</w:t>
      </w:r>
    </w:p>
    <w:p>
      <w:pPr>
        <w:pStyle w:val="Heading2"/>
        <w:spacing w:after="80" w:before="240"/>
      </w:pPr>
      <w:r>
        <w:rPr>
          <w:rFonts w:ascii="Arial" w:cs="Arial" w:eastAsia="Arial" w:hAnsi="Arial"/>
          <w:b/>
          <w:bCs/>
          <w:color w:val="2E75B6"/>
          <w:sz w:val="28"/>
          <w:szCs w:val="28"/>
        </w:rPr>
        <w:t xml:space="preserve">4.7 Usability and Localization</w:t>
      </w:r>
    </w:p>
    <w:p>
      <w:pPr>
        <w:pStyle w:val="ListParagraph"/>
        <w:numPr>
          <w:ilvl w:val="0"/>
          <w:numId w:val="2"/>
        </w:numPr>
        <w:spacing w:after="60"/>
      </w:pPr>
      <w:r>
        <w:rPr>
          <w:rFonts w:ascii="Arial" w:cs="Arial" w:eastAsia="Arial" w:hAnsi="Arial"/>
          <w:sz w:val="22"/>
          <w:szCs w:val="22"/>
        </w:rPr>
        <w:t xml:space="preserve">UI language: Support English and Hindi interfaces</w:t>
      </w:r>
    </w:p>
    <w:p>
      <w:pPr>
        <w:pStyle w:val="ListParagraph"/>
        <w:numPr>
          <w:ilvl w:val="0"/>
          <w:numId w:val="2"/>
        </w:numPr>
        <w:spacing w:after="60"/>
      </w:pPr>
      <w:r>
        <w:rPr>
          <w:rFonts w:ascii="Arial" w:cs="Arial" w:eastAsia="Arial" w:hAnsi="Arial"/>
          <w:sz w:val="22"/>
          <w:szCs w:val="22"/>
        </w:rPr>
        <w:t xml:space="preserve">Date/time formats: Indian Standard Time (IST); DD/MM/YYYY date format</w:t>
      </w:r>
    </w:p>
    <w:p>
      <w:pPr>
        <w:pStyle w:val="ListParagraph"/>
        <w:numPr>
          <w:ilvl w:val="0"/>
          <w:numId w:val="2"/>
        </w:numPr>
        <w:spacing w:after="60"/>
      </w:pPr>
      <w:r>
        <w:rPr>
          <w:rFonts w:ascii="Arial" w:cs="Arial" w:eastAsia="Arial" w:hAnsi="Arial"/>
          <w:sz w:val="22"/>
          <w:szCs w:val="22"/>
        </w:rPr>
        <w:t xml:space="preserve">Training: Onsite training for investigators, supervisors, and administrators</w:t>
      </w:r>
    </w:p>
    <w:p>
      <w:pPr>
        <w:pStyle w:val="ListParagraph"/>
        <w:numPr>
          <w:ilvl w:val="0"/>
          <w:numId w:val="2"/>
        </w:numPr>
        <w:spacing w:after="60"/>
      </w:pPr>
      <w:r>
        <w:rPr>
          <w:rFonts w:ascii="Arial" w:cs="Arial" w:eastAsia="Arial" w:hAnsi="Arial"/>
          <w:sz w:val="22"/>
          <w:szCs w:val="22"/>
        </w:rPr>
        <w:t xml:space="preserve">Documentation: User manuals, administrator guides, and API documentation in English</w:t>
      </w:r>
    </w:p>
    <w:p>
      <w:pPr>
        <w:pStyle w:val="ListParagraph"/>
        <w:numPr>
          <w:ilvl w:val="0"/>
          <w:numId w:val="2"/>
        </w:numPr>
        <w:spacing w:after="60"/>
      </w:pPr>
      <w:r>
        <w:rPr>
          <w:rFonts w:ascii="Arial" w:cs="Arial" w:eastAsia="Arial" w:hAnsi="Arial"/>
          <w:sz w:val="22"/>
          <w:szCs w:val="22"/>
        </w:rPr>
        <w:t xml:space="preserve">Accessibility: UI compliant with WCAG 2.1 AA guidelines</w:t>
      </w:r>
    </w:p>
    <w:p>
      <w:r>
        <w:br w:type="page"/>
      </w:r>
    </w:p>
    <w:p>
      <w:pPr>
        <w:pStyle w:val="Heading1"/>
        <w:spacing w:after="120" w:before="360"/>
      </w:pPr>
      <w:r>
        <w:rPr>
          <w:rFonts w:ascii="Arial" w:cs="Arial" w:eastAsia="Arial" w:hAnsi="Arial"/>
          <w:b/>
          <w:bCs/>
          <w:color w:val="1F4E79"/>
          <w:sz w:val="36"/>
          <w:szCs w:val="36"/>
        </w:rPr>
        <w:t xml:space="preserve">5. System Architecture Overview</w:t>
      </w:r>
    </w:p>
    <w:p>
      <w:pPr>
        <w:pStyle w:val="Heading2"/>
        <w:spacing w:after="80" w:before="240"/>
      </w:pPr>
      <w:r>
        <w:rPr>
          <w:rFonts w:ascii="Arial" w:cs="Arial" w:eastAsia="Arial" w:hAnsi="Arial"/>
          <w:b/>
          <w:bCs/>
          <w:color w:val="2E75B6"/>
          <w:sz w:val="28"/>
          <w:szCs w:val="28"/>
        </w:rPr>
        <w:t xml:space="preserve">5.1 High-Level Architecture</w:t>
      </w:r>
    </w:p>
    <w:p>
      <w:pPr>
        <w:spacing w:after="100"/>
      </w:pPr>
      <w:r>
        <w:rPr>
          <w:rFonts w:ascii="Arial" w:cs="Arial" w:eastAsia="Arial" w:hAnsi="Arial"/>
          <w:b w:val="false"/>
          <w:bCs w:val="false"/>
          <w:sz w:val="22"/>
          <w:szCs w:val="22"/>
        </w:rPr>
        <w:t xml:space="preserve">The EFRM Solution follows a layered, microservices-based architecture enabling independent scaling, deployment, and maintenance of each functional component. The architecture supports both on-premises and private cloud deployment on UPGB's AMBAR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Components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1F4E79"/>
                <w:sz w:val="20"/>
                <w:szCs w:val="20"/>
              </w:rPr>
              <w:t xml:space="preserve">Data Ingestion Layer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Channel connectors (CBS, UPI, IMPS, NEFT/RTGS, AEPS, BBPS, ATM Switch, Mobile/Internet Banking, IVRS); streaming and batch pipelines; schema normalization; deduplication engine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1F4E79"/>
                <w:sz w:val="20"/>
                <w:szCs w:val="20"/>
              </w:rPr>
              <w:t xml:space="preserve">Real-Time Processing Layer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Transaction scoring engine (≤100ms); rule/scenario engine; behavioral analytics engine; ML inference engine; cross-channel correlation engine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1F4E79"/>
                <w:sz w:val="20"/>
                <w:szCs w:val="20"/>
              </w:rPr>
              <w:t xml:space="preserve">AI/ML 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Model registry; supervised and unsupervised model servers; XAI engine; model retraining pipeline; A/B testing framework; drift detection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1F4E79"/>
                <w:sz w:val="20"/>
                <w:szCs w:val="20"/>
              </w:rPr>
              <w:t xml:space="preserve">Customer Intelligence Layer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Dynamic customer profile store; device fingerprint store; network analytics engine (graph DB); watchlist manager; external feed integrator</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1F4E79"/>
                <w:sz w:val="20"/>
                <w:szCs w:val="20"/>
              </w:rPr>
              <w:t xml:space="preserve">Case Management Layer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Alert management; case lifecycle management; investigator workspace; SLA tracker; evidence management; escalation engine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1F4E79"/>
                <w:sz w:val="20"/>
                <w:szCs w:val="20"/>
              </w:rPr>
              <w:t xml:space="preserve">Analytics and Reporting Layer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Operational dashboards; MIS reporting engine; regulatory report generator; Power BI connector; ad-hoc query builder</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1F4E79"/>
                <w:sz w:val="20"/>
                <w:szCs w:val="20"/>
              </w:rPr>
              <w:t xml:space="preserve">Integration Layer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REST APIs (OpenAPI 3.0); webhook engine; SMS/Email gateway integration; external feed APIs (DoT FRI, Neustar, Maxmind, OSM)</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1F4E79"/>
                <w:sz w:val="20"/>
                <w:szCs w:val="20"/>
              </w:rPr>
              <w:t xml:space="preserve">Security Layer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HSM; TLS termination; RBAC/SSO; MFA; audit trail store; SIEM integration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1F4E79"/>
                <w:sz w:val="20"/>
                <w:szCs w:val="20"/>
              </w:rPr>
              <w:t xml:space="preserve">Infrastructure Layer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DC + DR deployment; Kubernetes orchestration; auto-scaling; health monitoring; centralized logging</w:t>
            </w:r>
          </w:p>
        </w:tc>
      </w:tr>
    </w:tbl>
    <w:p>
      <w:pPr>
        <w:pStyle w:val="Heading2"/>
        <w:spacing w:after="80" w:before="240"/>
      </w:pPr>
      <w:r>
        <w:rPr>
          <w:rFonts w:ascii="Arial" w:cs="Arial" w:eastAsia="Arial" w:hAnsi="Arial"/>
          <w:b/>
          <w:bCs/>
          <w:color w:val="2E75B6"/>
          <w:sz w:val="28"/>
          <w:szCs w:val="28"/>
        </w:rPr>
        <w:t xml:space="preserve">5.2 Deployment Architecture</w:t>
      </w:r>
    </w:p>
    <w:p>
      <w:pPr>
        <w:pStyle w:val="ListParagraph"/>
        <w:numPr>
          <w:ilvl w:val="0"/>
          <w:numId w:val="2"/>
        </w:numPr>
        <w:spacing w:after="60"/>
      </w:pPr>
      <w:r>
        <w:rPr>
          <w:rFonts w:ascii="Arial" w:cs="Arial" w:eastAsia="Arial" w:hAnsi="Arial"/>
          <w:sz w:val="22"/>
          <w:szCs w:val="22"/>
        </w:rPr>
        <w:t xml:space="preserve">Primary Data Centre (DC): Full production stack; active-active or active-passive as per vendor recommendation</w:t>
      </w:r>
    </w:p>
    <w:p>
      <w:pPr>
        <w:pStyle w:val="ListParagraph"/>
        <w:numPr>
          <w:ilvl w:val="0"/>
          <w:numId w:val="2"/>
        </w:numPr>
        <w:spacing w:after="60"/>
      </w:pPr>
      <w:r>
        <w:rPr>
          <w:rFonts w:ascii="Arial" w:cs="Arial" w:eastAsia="Arial" w:hAnsi="Arial"/>
          <w:sz w:val="22"/>
          <w:szCs w:val="22"/>
        </w:rPr>
        <w:t xml:space="preserve">Disaster Recovery (DR): Full replica; automated failover; RTO ≤ 120 min, RPO ≤ 10 min</w:t>
      </w:r>
    </w:p>
    <w:p>
      <w:pPr>
        <w:pStyle w:val="ListParagraph"/>
        <w:numPr>
          <w:ilvl w:val="0"/>
          <w:numId w:val="2"/>
        </w:numPr>
        <w:spacing w:after="60"/>
      </w:pPr>
      <w:r>
        <w:rPr>
          <w:rFonts w:ascii="Arial" w:cs="Arial" w:eastAsia="Arial" w:hAnsi="Arial"/>
          <w:sz w:val="22"/>
          <w:szCs w:val="22"/>
        </w:rPr>
        <w:t xml:space="preserve">Containerization: Kubernetes-based orchestration; IaC templates provided for reproducible deployments</w:t>
      </w:r>
    </w:p>
    <w:p>
      <w:pPr>
        <w:pStyle w:val="ListParagraph"/>
        <w:numPr>
          <w:ilvl w:val="0"/>
          <w:numId w:val="2"/>
        </w:numPr>
        <w:spacing w:after="60"/>
      </w:pPr>
      <w:r>
        <w:rPr>
          <w:rFonts w:ascii="Arial" w:cs="Arial" w:eastAsia="Arial" w:hAnsi="Arial"/>
          <w:sz w:val="22"/>
          <w:szCs w:val="22"/>
        </w:rPr>
        <w:t xml:space="preserve">Network: Dedicated secure network segments for EFRM; no direct internet exposure; WAF in front of any external-facing components</w:t>
      </w:r>
    </w:p>
    <w:p>
      <w:pPr>
        <w:pStyle w:val="ListParagraph"/>
        <w:numPr>
          <w:ilvl w:val="0"/>
          <w:numId w:val="2"/>
        </w:numPr>
        <w:spacing w:after="60"/>
      </w:pPr>
      <w:r>
        <w:rPr>
          <w:rFonts w:ascii="Arial" w:cs="Arial" w:eastAsia="Arial" w:hAnsi="Arial"/>
          <w:sz w:val="22"/>
          <w:szCs w:val="22"/>
        </w:rPr>
        <w:t xml:space="preserve">Storage: Encrypted storage for hot data (recent transactions), warm data (3 months), and cold archive (3+ years)</w:t>
      </w:r>
    </w:p>
    <w:p>
      <w:pPr>
        <w:pStyle w:val="Heading2"/>
        <w:spacing w:after="80" w:before="240"/>
      </w:pPr>
      <w:r>
        <w:rPr>
          <w:rFonts w:ascii="Arial" w:cs="Arial" w:eastAsia="Arial" w:hAnsi="Arial"/>
          <w:b/>
          <w:bCs/>
          <w:color w:val="2E75B6"/>
          <w:sz w:val="28"/>
          <w:szCs w:val="28"/>
        </w:rPr>
        <w:t xml:space="preserve">5.3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System</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Integration Type</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Data Exchanged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CBS (Core Banking)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Real-time API / File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Branch transactions, account data, employee actions, KYC status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UPI Switch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Real-time API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UPI transaction events, mandate data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ATM / Card Switch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Real-time API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ATM/POS/E-com card transactions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IMPS / NEFT / RTGS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Real-time API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Fund transfer transactions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AEPS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Real-time API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AEPS withdrawal and biometric events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BBPS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Real-time API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Bill payment transactions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Mobile Banking App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Real-time API + SDK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Session events, device data, transaction events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Internet Banking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Real-time API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Session events, transaction events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IVRS / Call Centre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Real-time API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Call events, IVRS-initiated transactions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SMS / Email Gateway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Customer alerts, investigator notifications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KYC / AML System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KYC status, AML screening results, STR workflows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LDAP / Active Directory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LDAP / SAML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User authentication, group membership, SSO</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SIEM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Syslog / API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Security events, audit logs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DoT FRI / MNRL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API / File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Fraudulent mobile number intelligence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Neustar / Maxmind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IP reputation, device intelligence, geo data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OSM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Online scam intelligence feeds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Power BI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ODBC / API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Fraud metrics and analytics data</w:t>
            </w:r>
          </w:p>
        </w:tc>
      </w:tr>
    </w:tbl>
    <w:p>
      <w:r>
        <w:br w:type="page"/>
      </w:r>
    </w:p>
    <w:p>
      <w:pPr>
        <w:pStyle w:val="Heading1"/>
        <w:spacing w:after="120" w:before="360"/>
      </w:pPr>
      <w:r>
        <w:rPr>
          <w:rFonts w:ascii="Arial" w:cs="Arial" w:eastAsia="Arial" w:hAnsi="Arial"/>
          <w:b/>
          <w:bCs/>
          <w:color w:val="1F4E79"/>
          <w:sz w:val="36"/>
          <w:szCs w:val="36"/>
        </w:rPr>
        <w:t xml:space="preserve">6. Acceptance Criteria and Testing</w:t>
      </w:r>
    </w:p>
    <w:p>
      <w:pPr>
        <w:pStyle w:val="Heading2"/>
        <w:spacing w:after="80" w:before="240"/>
      </w:pPr>
      <w:r>
        <w:rPr>
          <w:rFonts w:ascii="Arial" w:cs="Arial" w:eastAsia="Arial" w:hAnsi="Arial"/>
          <w:b/>
          <w:bCs/>
          <w:color w:val="2E75B6"/>
          <w:sz w:val="28"/>
          <w:szCs w:val="28"/>
        </w:rPr>
        <w:t xml:space="preserve">6.1 Acceptance Test Framework</w:t>
      </w:r>
    </w:p>
    <w:p>
      <w:pPr>
        <w:spacing w:after="100"/>
      </w:pPr>
      <w:r>
        <w:rPr>
          <w:rFonts w:ascii="Arial" w:cs="Arial" w:eastAsia="Arial" w:hAnsi="Arial"/>
          <w:b w:val="false"/>
          <w:bCs w:val="false"/>
          <w:sz w:val="22"/>
          <w:szCs w:val="22"/>
        </w:rPr>
        <w:t xml:space="preserve">The solution shall be accepted by UPGB following successful completion of all acceptance tests across the following test categories:</w:t>
      </w:r>
    </w:p>
    <w:p>
      <w:pPr>
        <w:pStyle w:val="ListParagraph"/>
        <w:numPr>
          <w:ilvl w:val="0"/>
          <w:numId w:val="2"/>
        </w:numPr>
        <w:spacing w:after="60"/>
      </w:pPr>
      <w:r>
        <w:rPr>
          <w:rFonts w:ascii="Arial" w:cs="Arial" w:eastAsia="Arial" w:hAnsi="Arial"/>
          <w:sz w:val="22"/>
          <w:szCs w:val="22"/>
        </w:rPr>
        <w:t xml:space="preserve">Functional Testing: All FR items tested per acceptance criteria defined in Section 3</w:t>
      </w:r>
    </w:p>
    <w:p>
      <w:pPr>
        <w:pStyle w:val="ListParagraph"/>
        <w:numPr>
          <w:ilvl w:val="0"/>
          <w:numId w:val="2"/>
        </w:numPr>
        <w:spacing w:after="60"/>
      </w:pPr>
      <w:r>
        <w:rPr>
          <w:rFonts w:ascii="Arial" w:cs="Arial" w:eastAsia="Arial" w:hAnsi="Arial"/>
          <w:sz w:val="22"/>
          <w:szCs w:val="22"/>
        </w:rPr>
        <w:t xml:space="preserve">Performance Testing: Latency, throughput, and concurrency targets met per Section 4.1</w:t>
      </w:r>
    </w:p>
    <w:p>
      <w:pPr>
        <w:pStyle w:val="ListParagraph"/>
        <w:numPr>
          <w:ilvl w:val="0"/>
          <w:numId w:val="2"/>
        </w:numPr>
        <w:spacing w:after="60"/>
      </w:pPr>
      <w:r>
        <w:rPr>
          <w:rFonts w:ascii="Arial" w:cs="Arial" w:eastAsia="Arial" w:hAnsi="Arial"/>
          <w:sz w:val="22"/>
          <w:szCs w:val="22"/>
        </w:rPr>
        <w:t xml:space="preserve">Security Testing: VAPT, OWASP compliance, and penetration test with no unresolved critical/high findings</w:t>
      </w:r>
    </w:p>
    <w:p>
      <w:pPr>
        <w:pStyle w:val="ListParagraph"/>
        <w:numPr>
          <w:ilvl w:val="0"/>
          <w:numId w:val="2"/>
        </w:numPr>
        <w:spacing w:after="60"/>
      </w:pPr>
      <w:r>
        <w:rPr>
          <w:rFonts w:ascii="Arial" w:cs="Arial" w:eastAsia="Arial" w:hAnsi="Arial"/>
          <w:sz w:val="22"/>
          <w:szCs w:val="22"/>
        </w:rPr>
        <w:t xml:space="preserve">Integration Testing: All integrations in scope (Section 5.3) tested end-to-end with UPGB systems</w:t>
      </w:r>
    </w:p>
    <w:p>
      <w:pPr>
        <w:pStyle w:val="ListParagraph"/>
        <w:numPr>
          <w:ilvl w:val="0"/>
          <w:numId w:val="2"/>
        </w:numPr>
        <w:spacing w:after="60"/>
      </w:pPr>
      <w:r>
        <w:rPr>
          <w:rFonts w:ascii="Arial" w:cs="Arial" w:eastAsia="Arial" w:hAnsi="Arial"/>
          <w:sz w:val="22"/>
          <w:szCs w:val="22"/>
        </w:rPr>
        <w:t xml:space="preserve">User Acceptance Testing (UAT): Bank investigators and administrators validate workflows over 30-day parallel run</w:t>
      </w:r>
    </w:p>
    <w:p>
      <w:pPr>
        <w:pStyle w:val="ListParagraph"/>
        <w:numPr>
          <w:ilvl w:val="0"/>
          <w:numId w:val="2"/>
        </w:numPr>
        <w:spacing w:after="60"/>
      </w:pPr>
      <w:r>
        <w:rPr>
          <w:rFonts w:ascii="Arial" w:cs="Arial" w:eastAsia="Arial" w:hAnsi="Arial"/>
          <w:sz w:val="22"/>
          <w:szCs w:val="22"/>
        </w:rPr>
        <w:t xml:space="preserve">Disaster Recovery Testing: DR failover drill conducted and RTO/RPO targets met</w:t>
      </w:r>
    </w:p>
    <w:p>
      <w:pPr>
        <w:pStyle w:val="ListParagraph"/>
        <w:numPr>
          <w:ilvl w:val="0"/>
          <w:numId w:val="2"/>
        </w:numPr>
        <w:spacing w:after="60"/>
      </w:pPr>
      <w:r>
        <w:rPr>
          <w:rFonts w:ascii="Arial" w:cs="Arial" w:eastAsia="Arial" w:hAnsi="Arial"/>
          <w:sz w:val="22"/>
          <w:szCs w:val="22"/>
        </w:rPr>
        <w:t xml:space="preserve">Model Performance Testing: ML model precision ≥ 80%, recall ≥ 70% on UPGB validation dataset</w:t>
      </w:r>
    </w:p>
    <w:p>
      <w:pPr>
        <w:pStyle w:val="Heading2"/>
        <w:spacing w:after="80" w:before="240"/>
      </w:pPr>
      <w:r>
        <w:rPr>
          <w:rFonts w:ascii="Arial" w:cs="Arial" w:eastAsia="Arial" w:hAnsi="Arial"/>
          <w:b/>
          <w:bCs/>
          <w:color w:val="2E75B6"/>
          <w:sz w:val="28"/>
          <w:szCs w:val="28"/>
        </w:rPr>
        <w:t xml:space="preserve">6.2 Key Performance Indicators at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KPI</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Target</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Measurement Period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False Positive Rate</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 5% (to be baselined on UPGB data)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First 30 days post go-live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Fraud Detection Rate (Recall)</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 70%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First 30 days post go-live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Mean Time to Detect (MTTD)</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 5 minutes for real-time channels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Rolling 30-day average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Mean Time to Resolve (MTTR)</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 4 hours (configurable SLA)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Rolling 30-day average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System Uptime</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 99.90% monthly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Monthly measurement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Alert Scoring Latency P95</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 100ms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Continuous monitoring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Case Management Response Time</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 3 seconds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Continuous monitoring</w:t>
            </w:r>
          </w:p>
        </w:tc>
      </w:tr>
    </w:tbl>
    <w:p>
      <w:pPr>
        <w:pStyle w:val="Heading2"/>
        <w:spacing w:after="80" w:before="240"/>
      </w:pPr>
      <w:r>
        <w:rPr>
          <w:rFonts w:ascii="Arial" w:cs="Arial" w:eastAsia="Arial" w:hAnsi="Arial"/>
          <w:b/>
          <w:bCs/>
          <w:color w:val="2E75B6"/>
          <w:sz w:val="28"/>
          <w:szCs w:val="28"/>
        </w:rPr>
        <w:t xml:space="preserve">6.3 Delivery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920"/>
        <w:gridCol w:w="3000"/>
      </w:tblGrid>
      <w:tr>
        <w:tc>
          <w:tcPr>
            <w:tcW w:type="dxa" w:w="14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Week</w:t>
            </w:r>
          </w:p>
        </w:tc>
        <w:tc>
          <w:tcPr>
            <w:tcW w:type="dxa" w:w="49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Milestone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Deliverable</w:t>
            </w:r>
          </w:p>
        </w:tc>
      </w:tr>
      <w:tr>
        <w:tc>
          <w:tcPr>
            <w:tcW w:type="dxa" w:w="14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000000"/>
                <w:sz w:val="20"/>
                <w:szCs w:val="20"/>
              </w:rPr>
              <w:t xml:space="preserve">W1-2</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Project kick-off; environment setup; integration planning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Project plan; architecture document; integration specification</w:t>
            </w:r>
          </w:p>
        </w:tc>
      </w:tr>
      <w:tr>
        <w:tc>
          <w:tcPr>
            <w:tcW w:type="dxa" w:w="14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000000"/>
                <w:sz w:val="20"/>
                <w:szCs w:val="20"/>
              </w:rPr>
              <w:t xml:space="preserve">W3-6</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1 channel integration (UPI, Mobile, Internet Banking, Debit Card, IMPS, AEPS, NEFT/RTGS, IVRS)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Integration test reports; UAT test cases</w:t>
            </w:r>
          </w:p>
        </w:tc>
      </w:tr>
      <w:tr>
        <w:tc>
          <w:tcPr>
            <w:tcW w:type="dxa" w:w="14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000000"/>
                <w:sz w:val="20"/>
                <w:szCs w:val="20"/>
              </w:rPr>
              <w:t xml:space="preserve">W7-10</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Rule engine configuration; ML model training and validation on UPGB data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Model performance report; rule configuration guide</w:t>
            </w:r>
          </w:p>
        </w:tc>
      </w:tr>
      <w:tr>
        <w:tc>
          <w:tcPr>
            <w:tcW w:type="dxa" w:w="14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000000"/>
                <w:sz w:val="20"/>
                <w:szCs w:val="20"/>
              </w:rPr>
              <w:t xml:space="preserve">W11-12</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1 go-live; parallel run initiation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Go-live sign-off; monitoring runbook</w:t>
            </w:r>
          </w:p>
        </w:tc>
      </w:tr>
      <w:tr>
        <w:tc>
          <w:tcPr>
            <w:tcW w:type="dxa" w:w="14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000000"/>
                <w:sz w:val="20"/>
                <w:szCs w:val="20"/>
              </w:rPr>
              <w:t xml:space="preserve">W13-16</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2 integration (CBS Branch, BBPS, Behavioural Biometrics)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Integration test reports</w:t>
            </w:r>
          </w:p>
        </w:tc>
      </w:tr>
      <w:tr>
        <w:tc>
          <w:tcPr>
            <w:tcW w:type="dxa" w:w="14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000000"/>
                <w:sz w:val="20"/>
                <w:szCs w:val="20"/>
              </w:rPr>
              <w:t xml:space="preserve">W17-20</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2 go-live; full system DR drill; VAPT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VAPT report; DR drill report; final acceptance</w:t>
            </w:r>
          </w:p>
        </w:tc>
      </w:tr>
      <w:tr>
        <w:tc>
          <w:tcPr>
            <w:tcW w:type="dxa" w:w="14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color w:val="000000"/>
                <w:sz w:val="20"/>
                <w:szCs w:val="20"/>
              </w:rPr>
              <w:t xml:space="preserve">Post-20</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3 (additional channels); ongoing model review; maintenance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Phase 3 plan; quarterly model performance reports</w:t>
            </w:r>
          </w:p>
        </w:tc>
      </w:tr>
    </w:tbl>
    <w:p>
      <w:r>
        <w:br w:type="page"/>
      </w:r>
    </w:p>
    <w:p>
      <w:pPr>
        <w:pStyle w:val="Heading1"/>
        <w:spacing w:after="120" w:before="360"/>
      </w:pPr>
      <w:r>
        <w:rPr>
          <w:rFonts w:ascii="Arial" w:cs="Arial" w:eastAsia="Arial" w:hAnsi="Arial"/>
          <w:b/>
          <w:bCs/>
          <w:color w:val="1F4E79"/>
          <w:sz w:val="36"/>
          <w:szCs w:val="36"/>
        </w:rPr>
        <w:t xml:space="preserve">7. Service Level Agreements</w:t>
      </w:r>
    </w:p>
    <w:p>
      <w:pPr>
        <w:spacing w:after="100"/>
      </w:pPr>
      <w:r>
        <w:rPr>
          <w:rFonts w:ascii="Arial" w:cs="Arial" w:eastAsia="Arial" w:hAnsi="Arial"/>
          <w:b w:val="false"/>
          <w:bCs w:val="false"/>
          <w:sz w:val="22"/>
          <w:szCs w:val="22"/>
        </w:rPr>
        <w:t xml:space="preserve">The following SLAs shall be contractually binding and monitored via the system's operational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Service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Target</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Measurement</w:t>
            </w:r>
          </w:p>
        </w:tc>
        <w:tc>
          <w:tcPr>
            <w:tcW w:type="dxa" w:w="1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Penalty Trigger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System Availability (Core)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 99.90% monthly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Automated monitoring</w:t>
            </w:r>
          </w:p>
        </w:tc>
        <w:tc>
          <w:tcPr>
            <w:tcW w:type="dxa" w:w="1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val="false"/>
                <w:bCs w:val="false"/>
                <w:color w:val="000000"/>
                <w:sz w:val="20"/>
                <w:szCs w:val="20"/>
              </w:rPr>
              <w:t xml:space="preserve">&lt; 99.50%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Real-time Scoring Latency P95</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 100ms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Continuous APM</w:t>
            </w:r>
          </w:p>
        </w:tc>
        <w:tc>
          <w:tcPr>
            <w:tcW w:type="dxa" w:w="1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val="false"/>
                <w:bCs w:val="false"/>
                <w:color w:val="000000"/>
                <w:sz w:val="20"/>
                <w:szCs w:val="20"/>
              </w:rPr>
              <w:t xml:space="preserve">&gt; 200ms sustained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DR Failover (RTO)</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 120 minutes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DR drill / incident</w:t>
            </w:r>
          </w:p>
        </w:tc>
        <w:tc>
          <w:tcPr>
            <w:tcW w:type="dxa" w:w="1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val="false"/>
                <w:bCs w:val="false"/>
                <w:color w:val="000000"/>
                <w:sz w:val="20"/>
                <w:szCs w:val="20"/>
              </w:rPr>
              <w:t xml:space="preserve">&gt; 180 minutes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DR Data Loss (RPO)</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 10 minutes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DR drill / incident</w:t>
            </w:r>
          </w:p>
        </w:tc>
        <w:tc>
          <w:tcPr>
            <w:tcW w:type="dxa" w:w="1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val="false"/>
                <w:bCs w:val="false"/>
                <w:color w:val="000000"/>
                <w:sz w:val="20"/>
                <w:szCs w:val="20"/>
              </w:rPr>
              <w:t xml:space="preserve">&gt; 15 minutes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Incident Response (Critical)</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 30 minutes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Ticket timestamp</w:t>
            </w:r>
          </w:p>
        </w:tc>
        <w:tc>
          <w:tcPr>
            <w:tcW w:type="dxa" w:w="1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val="false"/>
                <w:bCs w:val="false"/>
                <w:color w:val="000000"/>
                <w:sz w:val="20"/>
                <w:szCs w:val="20"/>
              </w:rPr>
              <w:t xml:space="preserve">&gt; 60 minutes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Incident Resolution (Critical)</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 4 hours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Ticket close time</w:t>
            </w:r>
          </w:p>
        </w:tc>
        <w:tc>
          <w:tcPr>
            <w:tcW w:type="dxa" w:w="1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val="false"/>
                <w:bCs w:val="false"/>
                <w:color w:val="000000"/>
                <w:sz w:val="20"/>
                <w:szCs w:val="20"/>
              </w:rPr>
              <w:t xml:space="preserve">&gt; 8 hours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Patch Deployment (Critical Vuln)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 7 calendar days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Patch date vs CVE disclosure</w:t>
            </w:r>
          </w:p>
        </w:tc>
        <w:tc>
          <w:tcPr>
            <w:tcW w:type="dxa" w:w="1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val="false"/>
                <w:bCs w:val="false"/>
                <w:color w:val="000000"/>
                <w:sz w:val="20"/>
                <w:szCs w:val="20"/>
              </w:rPr>
              <w:t xml:space="preserve">&gt; 14 days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0000"/>
                <w:sz w:val="20"/>
                <w:szCs w:val="20"/>
              </w:rPr>
              <w:t xml:space="preserve">Planned Maintenance Window</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 4 hours/month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Maintenance log</w:t>
            </w:r>
          </w:p>
        </w:tc>
        <w:tc>
          <w:tcPr>
            <w:tcW w:type="dxa" w:w="1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val="false"/>
                <w:bCs w:val="false"/>
                <w:color w:val="000000"/>
                <w:sz w:val="20"/>
                <w:szCs w:val="20"/>
              </w:rPr>
              <w:t xml:space="preserve">&gt; 6 hours/month</w:t>
            </w:r>
          </w:p>
        </w:tc>
      </w:tr>
    </w:tbl>
    <w:p>
      <w:r>
        <w:br w:type="page"/>
      </w:r>
    </w:p>
    <w:p>
      <w:pPr>
        <w:pStyle w:val="Heading1"/>
        <w:spacing w:after="120" w:before="360"/>
      </w:pPr>
      <w:r>
        <w:rPr>
          <w:rFonts w:ascii="Arial" w:cs="Arial" w:eastAsia="Arial" w:hAnsi="Arial"/>
          <w:b/>
          <w:bCs/>
          <w:color w:val="1F4E79"/>
          <w:sz w:val="36"/>
          <w:szCs w:val="36"/>
        </w:rPr>
        <w:t xml:space="preserve">8. Appendix</w:t>
      </w:r>
    </w:p>
    <w:p>
      <w:pPr>
        <w:pStyle w:val="Heading2"/>
        <w:spacing w:after="80" w:before="240"/>
      </w:pPr>
      <w:r>
        <w:rPr>
          <w:rFonts w:ascii="Arial" w:cs="Arial" w:eastAsia="Arial" w:hAnsi="Arial"/>
          <w:b/>
          <w:bCs/>
          <w:color w:val="2E75B6"/>
          <w:sz w:val="28"/>
          <w:szCs w:val="28"/>
        </w:rPr>
        <w:t xml:space="preserve">8.1 RFP Requirement Traceability</w:t>
      </w:r>
    </w:p>
    <w:p>
      <w:pPr>
        <w:spacing w:after="100"/>
      </w:pPr>
      <w:r>
        <w:rPr>
          <w:rFonts w:ascii="Arial" w:cs="Arial" w:eastAsia="Arial" w:hAnsi="Arial"/>
          <w:b w:val="false"/>
          <w:bCs w:val="false"/>
          <w:sz w:val="22"/>
          <w:szCs w:val="22"/>
        </w:rPr>
        <w:t xml:space="preserve">Each requirement in this SRS maps to one or more items in the UPGB RFP GEM/2026/B/7474225 functional specification areas A through I. The vendor shall provide a Requirement Traceability Matrix (RTM) at project kick-off mapping all RFP line items to design documents and test cases.</w:t>
      </w:r>
    </w:p>
    <w:p>
      <w:pPr>
        <w:pStyle w:val="Heading2"/>
        <w:spacing w:after="80" w:before="240"/>
      </w:pPr>
      <w:r>
        <w:rPr>
          <w:rFonts w:ascii="Arial" w:cs="Arial" w:eastAsia="Arial" w:hAnsi="Arial"/>
          <w:b/>
          <w:bCs/>
          <w:color w:val="2E75B6"/>
          <w:sz w:val="28"/>
          <w:szCs w:val="28"/>
        </w:rPr>
        <w:t xml:space="preserve">8.2 Vendor Obligations</w:t>
      </w:r>
    </w:p>
    <w:p>
      <w:pPr>
        <w:pStyle w:val="ListParagraph"/>
        <w:numPr>
          <w:ilvl w:val="0"/>
          <w:numId w:val="2"/>
        </w:numPr>
        <w:spacing w:after="60"/>
      </w:pPr>
      <w:r>
        <w:rPr>
          <w:rFonts w:ascii="Arial" w:cs="Arial" w:eastAsia="Arial" w:hAnsi="Arial"/>
          <w:sz w:val="22"/>
          <w:szCs w:val="22"/>
        </w:rPr>
        <w:t xml:space="preserve">Provide OEM authorization and source code audit report prior to contract signing</w:t>
      </w:r>
    </w:p>
    <w:p>
      <w:pPr>
        <w:pStyle w:val="ListParagraph"/>
        <w:numPr>
          <w:ilvl w:val="0"/>
          <w:numId w:val="2"/>
        </w:numPr>
        <w:spacing w:after="60"/>
      </w:pPr>
      <w:r>
        <w:rPr>
          <w:rFonts w:ascii="Arial" w:cs="Arial" w:eastAsia="Arial" w:hAnsi="Arial"/>
          <w:sz w:val="22"/>
          <w:szCs w:val="22"/>
        </w:rPr>
        <w:t xml:space="preserve">Establish source code escrow per RFP terms</w:t>
      </w:r>
    </w:p>
    <w:p>
      <w:pPr>
        <w:pStyle w:val="ListParagraph"/>
        <w:numPr>
          <w:ilvl w:val="0"/>
          <w:numId w:val="2"/>
        </w:numPr>
        <w:spacing w:after="60"/>
      </w:pPr>
      <w:r>
        <w:rPr>
          <w:rFonts w:ascii="Arial" w:cs="Arial" w:eastAsia="Arial" w:hAnsi="Arial"/>
          <w:sz w:val="22"/>
          <w:szCs w:val="22"/>
        </w:rPr>
        <w:t xml:space="preserve">Conduct onsite training for investigators, supervisors, and IT administrators</w:t>
      </w:r>
    </w:p>
    <w:p>
      <w:pPr>
        <w:pStyle w:val="ListParagraph"/>
        <w:numPr>
          <w:ilvl w:val="0"/>
          <w:numId w:val="2"/>
        </w:numPr>
        <w:spacing w:after="60"/>
      </w:pPr>
      <w:r>
        <w:rPr>
          <w:rFonts w:ascii="Arial" w:cs="Arial" w:eastAsia="Arial" w:hAnsi="Arial"/>
          <w:sz w:val="22"/>
          <w:szCs w:val="22"/>
        </w:rPr>
        <w:t xml:space="preserve">Provide complete API documentation (OpenAPI 3.0), administrator guides, and runbooks</w:t>
      </w:r>
    </w:p>
    <w:p>
      <w:pPr>
        <w:pStyle w:val="ListParagraph"/>
        <w:numPr>
          <w:ilvl w:val="0"/>
          <w:numId w:val="2"/>
        </w:numPr>
        <w:spacing w:after="60"/>
      </w:pPr>
      <w:r>
        <w:rPr>
          <w:rFonts w:ascii="Arial" w:cs="Arial" w:eastAsia="Arial" w:hAnsi="Arial"/>
          <w:sz w:val="22"/>
          <w:szCs w:val="22"/>
        </w:rPr>
        <w:t xml:space="preserve">Conduct VAPT pre-go-live and annually; remediate all critical/high findings</w:t>
      </w:r>
    </w:p>
    <w:p>
      <w:pPr>
        <w:pStyle w:val="ListParagraph"/>
        <w:numPr>
          <w:ilvl w:val="0"/>
          <w:numId w:val="2"/>
        </w:numPr>
        <w:spacing w:after="60"/>
      </w:pPr>
      <w:r>
        <w:rPr>
          <w:rFonts w:ascii="Arial" w:cs="Arial" w:eastAsia="Arial" w:hAnsi="Arial"/>
          <w:sz w:val="22"/>
          <w:szCs w:val="22"/>
        </w:rPr>
        <w:t xml:space="preserve">Participate in quarterly model performance reviews with UPGB fraud team</w:t>
      </w:r>
    </w:p>
    <w:p>
      <w:pPr>
        <w:pStyle w:val="ListParagraph"/>
        <w:numPr>
          <w:ilvl w:val="0"/>
          <w:numId w:val="2"/>
        </w:numPr>
        <w:spacing w:after="60"/>
      </w:pPr>
      <w:r>
        <w:rPr>
          <w:rFonts w:ascii="Arial" w:cs="Arial" w:eastAsia="Arial" w:hAnsi="Arial"/>
          <w:sz w:val="22"/>
          <w:szCs w:val="22"/>
        </w:rPr>
        <w:t xml:space="preserve">Maintain 24x7 support with defined escalation matrix for critical incidents</w:t>
      </w:r>
    </w:p>
    <w:p>
      <w:pPr>
        <w:pStyle w:val="Heading2"/>
        <w:spacing w:after="80" w:before="240"/>
      </w:pPr>
      <w:r>
        <w:rPr>
          <w:rFonts w:ascii="Arial" w:cs="Arial" w:eastAsia="Arial" w:hAnsi="Arial"/>
          <w:b/>
          <w:bCs/>
          <w:color w:val="2E75B6"/>
          <w:sz w:val="28"/>
          <w:szCs w:val="28"/>
        </w:rPr>
        <w:t xml:space="preserve">8.3 Assumptions and Constraints</w:t>
      </w:r>
    </w:p>
    <w:p>
      <w:pPr>
        <w:pStyle w:val="ListParagraph"/>
        <w:numPr>
          <w:ilvl w:val="0"/>
          <w:numId w:val="2"/>
        </w:numPr>
        <w:spacing w:after="60"/>
      </w:pPr>
      <w:r>
        <w:rPr>
          <w:rFonts w:ascii="Arial" w:cs="Arial" w:eastAsia="Arial" w:hAnsi="Arial"/>
          <w:sz w:val="22"/>
          <w:szCs w:val="22"/>
        </w:rPr>
        <w:t xml:space="preserve">UPGB to provide access to historical transaction data (minimum 12 months) for ML model training</w:t>
      </w:r>
    </w:p>
    <w:p>
      <w:pPr>
        <w:pStyle w:val="ListParagraph"/>
        <w:numPr>
          <w:ilvl w:val="0"/>
          <w:numId w:val="2"/>
        </w:numPr>
        <w:spacing w:after="60"/>
      </w:pPr>
      <w:r>
        <w:rPr>
          <w:rFonts w:ascii="Arial" w:cs="Arial" w:eastAsia="Arial" w:hAnsi="Arial"/>
          <w:sz w:val="22"/>
          <w:szCs w:val="22"/>
        </w:rPr>
        <w:t xml:space="preserve">UPGB to ensure network connectivity between EFRM platform and all channel systems per integration specifications</w:t>
      </w:r>
    </w:p>
    <w:p>
      <w:pPr>
        <w:pStyle w:val="ListParagraph"/>
        <w:numPr>
          <w:ilvl w:val="0"/>
          <w:numId w:val="2"/>
        </w:numPr>
        <w:spacing w:after="60"/>
      </w:pPr>
      <w:r>
        <w:rPr>
          <w:rFonts w:ascii="Arial" w:cs="Arial" w:eastAsia="Arial" w:hAnsi="Arial"/>
          <w:sz w:val="22"/>
          <w:szCs w:val="22"/>
        </w:rPr>
        <w:t xml:space="preserve">Third-party feed subscriptions (Neustar, Maxmind, etc.) to be procured by UPGB or included in vendor scope as specified in commercial bid</w:t>
      </w:r>
    </w:p>
    <w:p>
      <w:pPr>
        <w:pStyle w:val="ListParagraph"/>
        <w:numPr>
          <w:ilvl w:val="0"/>
          <w:numId w:val="2"/>
        </w:numPr>
        <w:spacing w:after="60"/>
      </w:pPr>
      <w:r>
        <w:rPr>
          <w:rFonts w:ascii="Arial" w:cs="Arial" w:eastAsia="Arial" w:hAnsi="Arial"/>
          <w:sz w:val="22"/>
          <w:szCs w:val="22"/>
        </w:rPr>
        <w:t xml:space="preserve">UPGB CBS vendor to provide real-time or near-real-time data feed as per integration specification agreed at project kick-off</w:t>
      </w:r>
    </w:p>
    <w:p>
      <w:pPr>
        <w:pStyle w:val="ListParagraph"/>
        <w:numPr>
          <w:ilvl w:val="0"/>
          <w:numId w:val="2"/>
        </w:numPr>
        <w:spacing w:after="60"/>
      </w:pPr>
      <w:r>
        <w:rPr>
          <w:rFonts w:ascii="Arial" w:cs="Arial" w:eastAsia="Arial" w:hAnsi="Arial"/>
          <w:sz w:val="22"/>
          <w:szCs w:val="22"/>
        </w:rPr>
        <w:t xml:space="preserve">Behavioural biometrics SDK integration subject to UPGB mobile banking app vendor cooperation (Phase 2)</w:t>
      </w:r>
    </w:p>
    <w:p>
      <w:pPr>
        <w:pStyle w:val="ListParagraph"/>
        <w:numPr>
          <w:ilvl w:val="0"/>
          <w:numId w:val="2"/>
        </w:numPr>
        <w:spacing w:after="60"/>
      </w:pPr>
      <w:r>
        <w:rPr>
          <w:rFonts w:ascii="Arial" w:cs="Arial" w:eastAsia="Arial" w:hAnsi="Arial"/>
          <w:sz w:val="22"/>
          <w:szCs w:val="22"/>
        </w:rPr>
        <w:t xml:space="preserve">All compliance artifacts are vendor-supplied; UPGB retains right of independent audit</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jc w:val="center"/>
    </w:pPr>
    <w:r>
      <w:rPr>
        <w:rFonts w:ascii="Arial" w:cs="Arial" w:eastAsia="Arial" w:hAnsi="Arial"/>
        <w:color w:val="666666"/>
        <w:sz w:val="18"/>
        <w:szCs w:val="18"/>
      </w:rPr>
      <w:t xml:space="preserve">Confidential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tabs>
        <w:tab w:val="right" w:pos="9360"/>
      </w:tabs>
    </w:pPr>
    <w:r>
      <w:rPr>
        <w:rFonts w:ascii="Arial" w:cs="Arial" w:eastAsia="Arial" w:hAnsi="Arial"/>
        <w:color w:val="1F4E79"/>
        <w:sz w:val="18"/>
        <w:szCs w:val="18"/>
      </w:rPr>
      <w:t xml:space="preserve">EFRM SRS — Uttar Pradesh Gramin Bank (UPGB)</w:t>
    </w:r>
    <w:r>
      <w:rPr>
        <w:sz w:val="18"/>
        <w:szCs w:val="18"/>
      </w:rPr>
      <w:t xml:space="preserve">	</w:t>
    </w:r>
    <w:r>
      <w:rPr>
        <w:rFonts w:ascii="Arial" w:cs="Arial" w:eastAsia="Arial" w:hAnsi="Arial"/>
        <w:color w:val="888888"/>
        <w:sz w:val="18"/>
        <w:szCs w:val="18"/>
      </w:rPr>
      <w:t xml:space="preserve">GEM/2026/B/7474225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2026-06-15T12:35:12.826Z</dcterms:created>
  <dcterms:modified xsi:type="dcterms:W3CDTF">2026-06-15T12:35:12.826Z</dcterms:modified>
</cp:coreProperties>
</file>

<file path=docProps/custom.xml><?xml version="1.0" encoding="utf-8"?>
<Properties xmlns="http://schemas.openxmlformats.org/officeDocument/2006/custom-properties" xmlns:vt="http://schemas.openxmlformats.org/officeDocument/2006/docPropsVTypes"/>
</file>