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22C9B" w:rsidRPr="00722C9B" w:rsidRDefault="00722C9B" w:rsidP="00722C9B">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bookmarkStart w:id="0" w:name="_GoBack"/>
      <w:r w:rsidRPr="00722C9B">
        <w:rPr>
          <w:rFonts w:ascii="Times New Roman" w:eastAsia="Times New Roman" w:hAnsi="Times New Roman" w:cs="Times New Roman"/>
          <w:b/>
          <w:bCs/>
          <w:kern w:val="36"/>
          <w:sz w:val="48"/>
          <w:szCs w:val="48"/>
          <w:lang w:eastAsia="en-IN"/>
        </w:rPr>
        <w:t>Executive Summary</w:t>
      </w:r>
    </w:p>
    <w:bookmarkEnd w:id="0"/>
    <w:p w:rsidR="00722C9B" w:rsidRPr="00722C9B" w:rsidRDefault="00722C9B" w:rsidP="00722C9B">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722C9B">
        <w:rPr>
          <w:rFonts w:ascii="Times New Roman" w:eastAsia="Times New Roman" w:hAnsi="Times New Roman" w:cs="Times New Roman"/>
          <w:b/>
          <w:bCs/>
          <w:sz w:val="36"/>
          <w:szCs w:val="36"/>
          <w:lang w:eastAsia="en-IN"/>
        </w:rPr>
        <w:t>Customer Engagement &amp; Product Utilization Analytics for Retention Strategy</w:t>
      </w:r>
    </w:p>
    <w:p w:rsidR="00722C9B" w:rsidRPr="00722C9B" w:rsidRDefault="00722C9B" w:rsidP="00722C9B">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722C9B">
        <w:rPr>
          <w:rFonts w:ascii="Times New Roman" w:eastAsia="Times New Roman" w:hAnsi="Times New Roman" w:cs="Times New Roman"/>
          <w:b/>
          <w:bCs/>
          <w:sz w:val="27"/>
          <w:szCs w:val="27"/>
          <w:lang w:eastAsia="en-IN"/>
        </w:rPr>
        <w:t>Overview</w:t>
      </w:r>
    </w:p>
    <w:p w:rsidR="00722C9B" w:rsidRPr="00722C9B" w:rsidRDefault="00722C9B" w:rsidP="00722C9B">
      <w:pPr>
        <w:spacing w:before="100" w:beforeAutospacing="1" w:after="100" w:afterAutospacing="1" w:line="240" w:lineRule="auto"/>
        <w:jc w:val="both"/>
        <w:rPr>
          <w:rFonts w:ascii="Times New Roman" w:eastAsia="Times New Roman" w:hAnsi="Times New Roman" w:cs="Times New Roman"/>
          <w:sz w:val="24"/>
          <w:szCs w:val="24"/>
          <w:lang w:eastAsia="en-IN"/>
        </w:rPr>
      </w:pPr>
      <w:r w:rsidRPr="00722C9B">
        <w:rPr>
          <w:rFonts w:ascii="Times New Roman" w:eastAsia="Times New Roman" w:hAnsi="Times New Roman" w:cs="Times New Roman"/>
          <w:sz w:val="24"/>
          <w:szCs w:val="24"/>
          <w:lang w:eastAsia="en-IN"/>
        </w:rPr>
        <w:t xml:space="preserve">This project </w:t>
      </w:r>
      <w:proofErr w:type="spellStart"/>
      <w:r w:rsidRPr="00722C9B">
        <w:rPr>
          <w:rFonts w:ascii="Times New Roman" w:eastAsia="Times New Roman" w:hAnsi="Times New Roman" w:cs="Times New Roman"/>
          <w:sz w:val="24"/>
          <w:szCs w:val="24"/>
          <w:lang w:eastAsia="en-IN"/>
        </w:rPr>
        <w:t>analyzed</w:t>
      </w:r>
      <w:proofErr w:type="spellEnd"/>
      <w:r w:rsidRPr="00722C9B">
        <w:rPr>
          <w:rFonts w:ascii="Times New Roman" w:eastAsia="Times New Roman" w:hAnsi="Times New Roman" w:cs="Times New Roman"/>
          <w:sz w:val="24"/>
          <w:szCs w:val="24"/>
          <w:lang w:eastAsia="en-IN"/>
        </w:rPr>
        <w:t xml:space="preserve"> customer retention </w:t>
      </w:r>
      <w:proofErr w:type="spellStart"/>
      <w:r w:rsidRPr="00722C9B">
        <w:rPr>
          <w:rFonts w:ascii="Times New Roman" w:eastAsia="Times New Roman" w:hAnsi="Times New Roman" w:cs="Times New Roman"/>
          <w:sz w:val="24"/>
          <w:szCs w:val="24"/>
          <w:lang w:eastAsia="en-IN"/>
        </w:rPr>
        <w:t>behavior</w:t>
      </w:r>
      <w:proofErr w:type="spellEnd"/>
      <w:r w:rsidRPr="00722C9B">
        <w:rPr>
          <w:rFonts w:ascii="Times New Roman" w:eastAsia="Times New Roman" w:hAnsi="Times New Roman" w:cs="Times New Roman"/>
          <w:sz w:val="24"/>
          <w:szCs w:val="24"/>
          <w:lang w:eastAsia="en-IN"/>
        </w:rPr>
        <w:t xml:space="preserve"> within a European banking dataset containing 10,000 customer records. The objective was to understand how customer engagement, product utilization, and relationship strength influence customer churn and long-term loyalty.</w:t>
      </w:r>
    </w:p>
    <w:p w:rsidR="00722C9B" w:rsidRPr="00722C9B" w:rsidRDefault="00722C9B" w:rsidP="00722C9B">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722C9B">
        <w:rPr>
          <w:rFonts w:ascii="Times New Roman" w:eastAsia="Times New Roman" w:hAnsi="Times New Roman" w:cs="Times New Roman"/>
          <w:b/>
          <w:bCs/>
          <w:sz w:val="27"/>
          <w:szCs w:val="27"/>
          <w:lang w:eastAsia="en-IN"/>
        </w:rPr>
        <w:t>Key Findings</w:t>
      </w:r>
    </w:p>
    <w:p w:rsidR="00722C9B" w:rsidRPr="00722C9B" w:rsidRDefault="00722C9B" w:rsidP="00722C9B">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722C9B">
        <w:rPr>
          <w:rFonts w:ascii="Times New Roman" w:eastAsia="Times New Roman" w:hAnsi="Times New Roman" w:cs="Times New Roman"/>
          <w:sz w:val="24"/>
          <w:szCs w:val="24"/>
          <w:lang w:eastAsia="en-IN"/>
        </w:rPr>
        <w:t>The overall customer churn rate was approximately 20.37%.</w:t>
      </w:r>
    </w:p>
    <w:p w:rsidR="00722C9B" w:rsidRPr="00722C9B" w:rsidRDefault="00722C9B" w:rsidP="00722C9B">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722C9B">
        <w:rPr>
          <w:rFonts w:ascii="Times New Roman" w:eastAsia="Times New Roman" w:hAnsi="Times New Roman" w:cs="Times New Roman"/>
          <w:sz w:val="24"/>
          <w:szCs w:val="24"/>
          <w:lang w:eastAsia="en-IN"/>
        </w:rPr>
        <w:t>Active customers demonstrated significantly higher retention rates than inactive customers.</w:t>
      </w:r>
    </w:p>
    <w:p w:rsidR="00722C9B" w:rsidRPr="00722C9B" w:rsidRDefault="00722C9B" w:rsidP="00722C9B">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722C9B">
        <w:rPr>
          <w:rFonts w:ascii="Times New Roman" w:eastAsia="Times New Roman" w:hAnsi="Times New Roman" w:cs="Times New Roman"/>
          <w:sz w:val="24"/>
          <w:szCs w:val="24"/>
          <w:lang w:eastAsia="en-IN"/>
        </w:rPr>
        <w:t>Customers using multiple banking products showed stronger loyalty and lower churn rates.</w:t>
      </w:r>
    </w:p>
    <w:p w:rsidR="00722C9B" w:rsidRPr="00722C9B" w:rsidRDefault="00722C9B" w:rsidP="00722C9B">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722C9B">
        <w:rPr>
          <w:rFonts w:ascii="Times New Roman" w:eastAsia="Times New Roman" w:hAnsi="Times New Roman" w:cs="Times New Roman"/>
          <w:sz w:val="24"/>
          <w:szCs w:val="24"/>
          <w:lang w:eastAsia="en-IN"/>
        </w:rPr>
        <w:t>High account balances alone did not guarantee customer retention.</w:t>
      </w:r>
    </w:p>
    <w:p w:rsidR="00722C9B" w:rsidRPr="00722C9B" w:rsidRDefault="00722C9B" w:rsidP="00722C9B">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722C9B">
        <w:rPr>
          <w:rFonts w:ascii="Times New Roman" w:eastAsia="Times New Roman" w:hAnsi="Times New Roman" w:cs="Times New Roman"/>
          <w:sz w:val="24"/>
          <w:szCs w:val="24"/>
          <w:lang w:eastAsia="en-IN"/>
        </w:rPr>
        <w:t>A substantial number of high-value customers were identified as disengaged, indicating potential revenue risk.</w:t>
      </w:r>
    </w:p>
    <w:p w:rsidR="00722C9B" w:rsidRPr="00722C9B" w:rsidRDefault="00722C9B" w:rsidP="00722C9B">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722C9B">
        <w:rPr>
          <w:rFonts w:ascii="Times New Roman" w:eastAsia="Times New Roman" w:hAnsi="Times New Roman" w:cs="Times New Roman"/>
          <w:sz w:val="24"/>
          <w:szCs w:val="24"/>
          <w:lang w:eastAsia="en-IN"/>
        </w:rPr>
        <w:t>Credit card ownership was associated with improved customer retention.</w:t>
      </w:r>
    </w:p>
    <w:p w:rsidR="00722C9B" w:rsidRPr="00722C9B" w:rsidRDefault="00722C9B" w:rsidP="00722C9B">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722C9B">
        <w:rPr>
          <w:rFonts w:ascii="Times New Roman" w:eastAsia="Times New Roman" w:hAnsi="Times New Roman" w:cs="Times New Roman"/>
          <w:sz w:val="24"/>
          <w:szCs w:val="24"/>
          <w:lang w:eastAsia="en-IN"/>
        </w:rPr>
        <w:t>Customer engagement emerged as a stronger predictor of retention than financial status alone.</w:t>
      </w:r>
    </w:p>
    <w:p w:rsidR="00722C9B" w:rsidRPr="00722C9B" w:rsidRDefault="00722C9B" w:rsidP="00722C9B">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722C9B">
        <w:rPr>
          <w:rFonts w:ascii="Times New Roman" w:eastAsia="Times New Roman" w:hAnsi="Times New Roman" w:cs="Times New Roman"/>
          <w:b/>
          <w:bCs/>
          <w:sz w:val="27"/>
          <w:szCs w:val="27"/>
          <w:lang w:eastAsia="en-IN"/>
        </w:rPr>
        <w:t>Strategic Insights</w:t>
      </w:r>
    </w:p>
    <w:p w:rsidR="00722C9B" w:rsidRPr="00722C9B" w:rsidRDefault="00722C9B" w:rsidP="00722C9B">
      <w:pPr>
        <w:spacing w:before="100" w:beforeAutospacing="1" w:after="100" w:afterAutospacing="1" w:line="240" w:lineRule="auto"/>
        <w:jc w:val="both"/>
        <w:rPr>
          <w:rFonts w:ascii="Times New Roman" w:eastAsia="Times New Roman" w:hAnsi="Times New Roman" w:cs="Times New Roman"/>
          <w:sz w:val="24"/>
          <w:szCs w:val="24"/>
          <w:lang w:eastAsia="en-IN"/>
        </w:rPr>
      </w:pPr>
      <w:r w:rsidRPr="00722C9B">
        <w:rPr>
          <w:rFonts w:ascii="Times New Roman" w:eastAsia="Times New Roman" w:hAnsi="Times New Roman" w:cs="Times New Roman"/>
          <w:sz w:val="24"/>
          <w:szCs w:val="24"/>
          <w:lang w:eastAsia="en-IN"/>
        </w:rPr>
        <w:t>The analysis indicates that customer retention is primarily driven by engagement and product adoption rather than account balance or salary. Customers who actively interact with the bank and utilize multiple products are substantially less likely to leave.</w:t>
      </w:r>
    </w:p>
    <w:p w:rsidR="00722C9B" w:rsidRPr="00722C9B" w:rsidRDefault="00722C9B" w:rsidP="00722C9B">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722C9B">
        <w:rPr>
          <w:rFonts w:ascii="Times New Roman" w:eastAsia="Times New Roman" w:hAnsi="Times New Roman" w:cs="Times New Roman"/>
          <w:b/>
          <w:bCs/>
          <w:sz w:val="27"/>
          <w:szCs w:val="27"/>
          <w:lang w:eastAsia="en-IN"/>
        </w:rPr>
        <w:t>Recommendations</w:t>
      </w:r>
    </w:p>
    <w:p w:rsidR="00722C9B" w:rsidRPr="00722C9B" w:rsidRDefault="00722C9B" w:rsidP="00722C9B">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722C9B">
        <w:rPr>
          <w:rFonts w:ascii="Times New Roman" w:eastAsia="Times New Roman" w:hAnsi="Times New Roman" w:cs="Times New Roman"/>
          <w:sz w:val="24"/>
          <w:szCs w:val="24"/>
          <w:lang w:eastAsia="en-IN"/>
        </w:rPr>
        <w:t>Increase customer engagement through personalized communication and loyalty initiatives.</w:t>
      </w:r>
    </w:p>
    <w:p w:rsidR="00722C9B" w:rsidRPr="00722C9B" w:rsidRDefault="00722C9B" w:rsidP="00722C9B">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722C9B">
        <w:rPr>
          <w:rFonts w:ascii="Times New Roman" w:eastAsia="Times New Roman" w:hAnsi="Times New Roman" w:cs="Times New Roman"/>
          <w:sz w:val="24"/>
          <w:szCs w:val="24"/>
          <w:lang w:eastAsia="en-IN"/>
        </w:rPr>
        <w:t>Promote cross-selling and product bundling to improve product adoption.</w:t>
      </w:r>
    </w:p>
    <w:p w:rsidR="00722C9B" w:rsidRPr="00722C9B" w:rsidRDefault="00722C9B" w:rsidP="00722C9B">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722C9B">
        <w:rPr>
          <w:rFonts w:ascii="Times New Roman" w:eastAsia="Times New Roman" w:hAnsi="Times New Roman" w:cs="Times New Roman"/>
          <w:sz w:val="24"/>
          <w:szCs w:val="24"/>
          <w:lang w:eastAsia="en-IN"/>
        </w:rPr>
        <w:t>Monitor high-value inactive customers through targeted retention campaigns.</w:t>
      </w:r>
    </w:p>
    <w:p w:rsidR="00722C9B" w:rsidRPr="00722C9B" w:rsidRDefault="00722C9B" w:rsidP="00722C9B">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722C9B">
        <w:rPr>
          <w:rFonts w:ascii="Times New Roman" w:eastAsia="Times New Roman" w:hAnsi="Times New Roman" w:cs="Times New Roman"/>
          <w:sz w:val="24"/>
          <w:szCs w:val="24"/>
          <w:lang w:eastAsia="en-IN"/>
        </w:rPr>
        <w:t>Strengthen relationship management for premium customer segments.</w:t>
      </w:r>
    </w:p>
    <w:p w:rsidR="00722C9B" w:rsidRPr="00722C9B" w:rsidRDefault="00722C9B" w:rsidP="00722C9B">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722C9B">
        <w:rPr>
          <w:rFonts w:ascii="Times New Roman" w:eastAsia="Times New Roman" w:hAnsi="Times New Roman" w:cs="Times New Roman"/>
          <w:sz w:val="24"/>
          <w:szCs w:val="24"/>
          <w:lang w:eastAsia="en-IN"/>
        </w:rPr>
        <w:t>Develop early-warning systems to identify customers at risk of churn.</w:t>
      </w:r>
    </w:p>
    <w:p w:rsidR="00722C9B" w:rsidRPr="00722C9B" w:rsidRDefault="00722C9B" w:rsidP="00722C9B">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722C9B">
        <w:rPr>
          <w:rFonts w:ascii="Times New Roman" w:eastAsia="Times New Roman" w:hAnsi="Times New Roman" w:cs="Times New Roman"/>
          <w:b/>
          <w:bCs/>
          <w:sz w:val="27"/>
          <w:szCs w:val="27"/>
          <w:lang w:eastAsia="en-IN"/>
        </w:rPr>
        <w:t>Expected Business Impact</w:t>
      </w:r>
    </w:p>
    <w:p w:rsidR="00722C9B" w:rsidRPr="00722C9B" w:rsidRDefault="00722C9B" w:rsidP="00722C9B">
      <w:pPr>
        <w:spacing w:before="100" w:beforeAutospacing="1" w:after="100" w:afterAutospacing="1" w:line="240" w:lineRule="auto"/>
        <w:jc w:val="both"/>
        <w:rPr>
          <w:rFonts w:ascii="Times New Roman" w:eastAsia="Times New Roman" w:hAnsi="Times New Roman" w:cs="Times New Roman"/>
          <w:sz w:val="24"/>
          <w:szCs w:val="24"/>
          <w:lang w:eastAsia="en-IN"/>
        </w:rPr>
      </w:pPr>
      <w:r w:rsidRPr="00722C9B">
        <w:rPr>
          <w:rFonts w:ascii="Times New Roman" w:eastAsia="Times New Roman" w:hAnsi="Times New Roman" w:cs="Times New Roman"/>
          <w:sz w:val="24"/>
          <w:szCs w:val="24"/>
          <w:lang w:eastAsia="en-IN"/>
        </w:rPr>
        <w:t>Implementing engagement-driven retention strategies can reduce customer churn, improve customer lifetime value, strengthen customer relationships, and support sustainable business growth.</w:t>
      </w:r>
    </w:p>
    <w:p w:rsidR="00722C9B" w:rsidRPr="00722C9B" w:rsidRDefault="00722C9B" w:rsidP="00722C9B">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722C9B">
        <w:rPr>
          <w:rFonts w:ascii="Times New Roman" w:eastAsia="Times New Roman" w:hAnsi="Times New Roman" w:cs="Times New Roman"/>
          <w:b/>
          <w:bCs/>
          <w:sz w:val="27"/>
          <w:szCs w:val="27"/>
          <w:lang w:eastAsia="en-IN"/>
        </w:rPr>
        <w:lastRenderedPageBreak/>
        <w:t>Conclusion</w:t>
      </w:r>
    </w:p>
    <w:p w:rsidR="00722C9B" w:rsidRPr="00722C9B" w:rsidRDefault="00722C9B" w:rsidP="00722C9B">
      <w:pPr>
        <w:spacing w:before="100" w:beforeAutospacing="1" w:after="100" w:afterAutospacing="1" w:line="240" w:lineRule="auto"/>
        <w:jc w:val="both"/>
        <w:rPr>
          <w:rFonts w:ascii="Times New Roman" w:eastAsia="Times New Roman" w:hAnsi="Times New Roman" w:cs="Times New Roman"/>
          <w:sz w:val="24"/>
          <w:szCs w:val="24"/>
          <w:lang w:eastAsia="en-IN"/>
        </w:rPr>
      </w:pPr>
      <w:r w:rsidRPr="00722C9B">
        <w:rPr>
          <w:rFonts w:ascii="Times New Roman" w:eastAsia="Times New Roman" w:hAnsi="Times New Roman" w:cs="Times New Roman"/>
          <w:sz w:val="24"/>
          <w:szCs w:val="24"/>
          <w:lang w:eastAsia="en-IN"/>
        </w:rPr>
        <w:t xml:space="preserve">The project demonstrates that customer engagement and product utilization are critical drivers of retention. By focusing on </w:t>
      </w:r>
      <w:proofErr w:type="spellStart"/>
      <w:r w:rsidRPr="00722C9B">
        <w:rPr>
          <w:rFonts w:ascii="Times New Roman" w:eastAsia="Times New Roman" w:hAnsi="Times New Roman" w:cs="Times New Roman"/>
          <w:sz w:val="24"/>
          <w:szCs w:val="24"/>
          <w:lang w:eastAsia="en-IN"/>
        </w:rPr>
        <w:t>behavioral</w:t>
      </w:r>
      <w:proofErr w:type="spellEnd"/>
      <w:r w:rsidRPr="00722C9B">
        <w:rPr>
          <w:rFonts w:ascii="Times New Roman" w:eastAsia="Times New Roman" w:hAnsi="Times New Roman" w:cs="Times New Roman"/>
          <w:sz w:val="24"/>
          <w:szCs w:val="24"/>
          <w:lang w:eastAsia="en-IN"/>
        </w:rPr>
        <w:t xml:space="preserve"> indicators rather than financial metrics alone, banks can design more effective retention strategies and improve long-term customer loyalty.</w:t>
      </w:r>
    </w:p>
    <w:p w:rsidR="00B60BF7" w:rsidRDefault="00722C9B" w:rsidP="00722C9B">
      <w:pPr>
        <w:jc w:val="both"/>
      </w:pPr>
    </w:p>
    <w:sectPr w:rsidR="00B60BF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E2F73B6"/>
    <w:multiLevelType w:val="multilevel"/>
    <w:tmpl w:val="D3C84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47B5729"/>
    <w:multiLevelType w:val="multilevel"/>
    <w:tmpl w:val="0CA80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2C9B"/>
    <w:rsid w:val="00330431"/>
    <w:rsid w:val="00722C9B"/>
    <w:rsid w:val="00960A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20B7A08-A9F4-494F-9D78-298DE9295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22C9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722C9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722C9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2C9B"/>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722C9B"/>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722C9B"/>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722C9B"/>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92169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318</Words>
  <Characters>1816</Characters>
  <Application>Microsoft Office Word</Application>
  <DocSecurity>0</DocSecurity>
  <Lines>15</Lines>
  <Paragraphs>4</Paragraphs>
  <ScaleCrop>false</ScaleCrop>
  <Company/>
  <LinksUpToDate>false</LinksUpToDate>
  <CharactersWithSpaces>2130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2026-06-05T19:31:00Z</dcterms:created>
  <dcterms:modified xsi:type="dcterms:W3CDTF">2026-06-05T19:32:00Z</dcterms:modified>
</cp:coreProperties>
</file>