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FB" w:rsidRDefault="001D10FB">
      <w:pPr>
        <w:rPr>
          <w:sz w:val="28"/>
          <w:szCs w:val="28"/>
        </w:rPr>
      </w:pPr>
      <w:proofErr w:type="gramStart"/>
      <w:r w:rsidRPr="001D10FB">
        <w:rPr>
          <w:sz w:val="28"/>
          <w:szCs w:val="28"/>
        </w:rPr>
        <w:t>Test  Environment</w:t>
      </w:r>
      <w:proofErr w:type="gramEnd"/>
      <w:r w:rsidRPr="001D10FB">
        <w:rPr>
          <w:sz w:val="28"/>
          <w:szCs w:val="28"/>
        </w:rPr>
        <w:t xml:space="preserve"> Management</w:t>
      </w:r>
      <w:r>
        <w:rPr>
          <w:sz w:val="28"/>
          <w:szCs w:val="28"/>
        </w:rPr>
        <w:t xml:space="preserve"> Tools</w:t>
      </w:r>
      <w:r w:rsidRPr="001D10FB">
        <w:rPr>
          <w:sz w:val="28"/>
          <w:szCs w:val="28"/>
        </w:rPr>
        <w:t>-</w:t>
      </w:r>
    </w:p>
    <w:p w:rsidR="001D10FB" w:rsidRPr="001D10FB" w:rsidRDefault="001D10FB" w:rsidP="001D10FB">
      <w:pPr>
        <w:spacing w:after="288" w:line="240" w:lineRule="auto"/>
        <w:outlineLvl w:val="2"/>
        <w:rPr>
          <w:rFonts w:eastAsia="Times New Roman" w:cs="Times New Roman"/>
          <w:color w:val="1B2331"/>
          <w:sz w:val="27"/>
          <w:szCs w:val="27"/>
          <w:lang w:eastAsia="en-GB"/>
        </w:rPr>
      </w:pPr>
      <w:proofErr w:type="spellStart"/>
      <w:r w:rsidRPr="001D10FB">
        <w:rPr>
          <w:rFonts w:ascii="montbold" w:eastAsia="Times New Roman" w:hAnsi="montbold" w:cs="Times New Roman"/>
          <w:color w:val="1B2331"/>
          <w:sz w:val="27"/>
          <w:szCs w:val="27"/>
          <w:highlight w:val="yellow"/>
          <w:lang w:eastAsia="en-GB"/>
        </w:rPr>
        <w:t>Apwide</w:t>
      </w:r>
      <w:proofErr w:type="spellEnd"/>
      <w:r w:rsidRPr="001D10FB">
        <w:rPr>
          <w:rFonts w:ascii="montbold" w:eastAsia="Times New Roman" w:hAnsi="montbold" w:cs="Times New Roman"/>
          <w:color w:val="1B2331"/>
          <w:sz w:val="27"/>
          <w:szCs w:val="27"/>
          <w:highlight w:val="yellow"/>
          <w:lang w:eastAsia="en-GB"/>
        </w:rPr>
        <w:t xml:space="preserve"> </w:t>
      </w:r>
      <w:proofErr w:type="spellStart"/>
      <w:r w:rsidRPr="001D10FB">
        <w:rPr>
          <w:rFonts w:ascii="montbold" w:eastAsia="Times New Roman" w:hAnsi="montbold" w:cs="Times New Roman"/>
          <w:color w:val="1B2331"/>
          <w:sz w:val="27"/>
          <w:szCs w:val="27"/>
          <w:highlight w:val="yellow"/>
          <w:lang w:eastAsia="en-GB"/>
        </w:rPr>
        <w:t>Golive</w:t>
      </w:r>
      <w:proofErr w:type="spellEnd"/>
    </w:p>
    <w:p w:rsidR="001D10FB" w:rsidRDefault="001D10FB" w:rsidP="001D10FB">
      <w:pPr>
        <w:pStyle w:val="NormalWeb"/>
        <w:spacing w:before="0" w:beforeAutospacing="0" w:after="449" w:afterAutospacing="0"/>
        <w:rPr>
          <w:rFonts w:asciiTheme="minorHAnsi" w:hAnsiTheme="minorHAnsi"/>
          <w:color w:val="1B2331"/>
          <w:sz w:val="27"/>
          <w:szCs w:val="27"/>
        </w:rPr>
      </w:pPr>
      <w:proofErr w:type="spellStart"/>
      <w:r w:rsidRPr="001D10FB">
        <w:rPr>
          <w:rFonts w:asciiTheme="minorHAnsi" w:hAnsiTheme="minorHAnsi"/>
          <w:color w:val="1B2331"/>
          <w:sz w:val="27"/>
          <w:szCs w:val="27"/>
        </w:rPr>
        <w:t>Apwide</w:t>
      </w:r>
      <w:proofErr w:type="spellEnd"/>
      <w:r w:rsidRPr="001D10FB">
        <w:rPr>
          <w:rFonts w:asciiTheme="minorHAnsi" w:hAnsiTheme="minorHAnsi"/>
          <w:color w:val="1B2331"/>
          <w:sz w:val="27"/>
          <w:szCs w:val="27"/>
        </w:rPr>
        <w:t xml:space="preserve"> </w:t>
      </w:r>
      <w:proofErr w:type="spellStart"/>
      <w:r w:rsidRPr="001D10FB">
        <w:rPr>
          <w:rFonts w:asciiTheme="minorHAnsi" w:hAnsiTheme="minorHAnsi"/>
          <w:color w:val="1B2331"/>
          <w:sz w:val="27"/>
          <w:szCs w:val="27"/>
        </w:rPr>
        <w:t>Golive</w:t>
      </w:r>
      <w:proofErr w:type="spellEnd"/>
      <w:r w:rsidRPr="001D10FB">
        <w:rPr>
          <w:rFonts w:asciiTheme="minorHAnsi" w:hAnsiTheme="minorHAnsi"/>
          <w:color w:val="1B2331"/>
          <w:sz w:val="27"/>
          <w:szCs w:val="27"/>
        </w:rPr>
        <w:t xml:space="preserve"> is a test environment management hub that works in </w:t>
      </w:r>
      <w:proofErr w:type="spellStart"/>
      <w:r w:rsidRPr="001D10FB">
        <w:rPr>
          <w:rFonts w:asciiTheme="minorHAnsi" w:hAnsiTheme="minorHAnsi"/>
          <w:color w:val="1B2331"/>
          <w:sz w:val="27"/>
          <w:szCs w:val="27"/>
        </w:rPr>
        <w:t>Jira</w:t>
      </w:r>
      <w:proofErr w:type="spellEnd"/>
      <w:r w:rsidRPr="001D10FB">
        <w:rPr>
          <w:rFonts w:asciiTheme="minorHAnsi" w:hAnsiTheme="minorHAnsi"/>
          <w:color w:val="1B2331"/>
          <w:sz w:val="27"/>
          <w:szCs w:val="27"/>
        </w:rPr>
        <w:t xml:space="preserve">. This tool is an add-on that allows organizations to increase the visibility of their test environments and perform scheduling and orchestration of environments. It comes with a REST API that allows users to integrate it with their already existing </w:t>
      </w:r>
      <w:proofErr w:type="spellStart"/>
      <w:r w:rsidRPr="001D10FB">
        <w:rPr>
          <w:rFonts w:asciiTheme="minorHAnsi" w:hAnsiTheme="minorHAnsi"/>
          <w:color w:val="1B2331"/>
          <w:sz w:val="27"/>
          <w:szCs w:val="27"/>
        </w:rPr>
        <w:t>toolchain</w:t>
      </w:r>
      <w:proofErr w:type="spellEnd"/>
      <w:r w:rsidRPr="001D10FB">
        <w:rPr>
          <w:rFonts w:asciiTheme="minorHAnsi" w:hAnsiTheme="minorHAnsi"/>
          <w:color w:val="1B2331"/>
          <w:sz w:val="27"/>
          <w:szCs w:val="27"/>
        </w:rPr>
        <w:t>.</w:t>
      </w:r>
    </w:p>
    <w:p w:rsidR="001D10FB" w:rsidRPr="001D10FB" w:rsidRDefault="001D10FB" w:rsidP="001D10FB">
      <w:pPr>
        <w:pStyle w:val="Heading3"/>
        <w:spacing w:before="0" w:beforeAutospacing="0" w:after="288" w:afterAutospacing="0"/>
        <w:rPr>
          <w:rFonts w:asciiTheme="minorHAnsi" w:hAnsiTheme="minorHAnsi"/>
          <w:b w:val="0"/>
          <w:bCs w:val="0"/>
          <w:color w:val="1B2331"/>
          <w:sz w:val="24"/>
          <w:szCs w:val="24"/>
        </w:rPr>
      </w:pPr>
      <w:proofErr w:type="spellStart"/>
      <w:r w:rsidRPr="001D10FB">
        <w:rPr>
          <w:rFonts w:asciiTheme="minorHAnsi" w:hAnsiTheme="minorHAnsi"/>
          <w:b w:val="0"/>
          <w:bCs w:val="0"/>
          <w:color w:val="1B2331"/>
          <w:sz w:val="24"/>
          <w:szCs w:val="24"/>
          <w:highlight w:val="yellow"/>
        </w:rPr>
        <w:t>Omnium</w:t>
      </w:r>
      <w:proofErr w:type="spellEnd"/>
      <w:r w:rsidRPr="001D10FB">
        <w:rPr>
          <w:rFonts w:asciiTheme="minorHAnsi" w:hAnsiTheme="minorHAnsi"/>
          <w:b w:val="0"/>
          <w:bCs w:val="0"/>
          <w:color w:val="1B2331"/>
          <w:sz w:val="24"/>
          <w:szCs w:val="24"/>
          <w:highlight w:val="yellow"/>
        </w:rPr>
        <w:t xml:space="preserve"> </w:t>
      </w:r>
      <w:proofErr w:type="spellStart"/>
      <w:r w:rsidRPr="001D10FB">
        <w:rPr>
          <w:rFonts w:asciiTheme="minorHAnsi" w:hAnsiTheme="minorHAnsi"/>
          <w:b w:val="0"/>
          <w:bCs w:val="0"/>
          <w:color w:val="1B2331"/>
          <w:sz w:val="24"/>
          <w:szCs w:val="24"/>
          <w:highlight w:val="yellow"/>
        </w:rPr>
        <w:t>Lite</w:t>
      </w:r>
      <w:proofErr w:type="spellEnd"/>
    </w:p>
    <w:p w:rsidR="001D10FB" w:rsidRPr="001D10FB" w:rsidRDefault="001D10FB" w:rsidP="001D10FB">
      <w:pPr>
        <w:pStyle w:val="NormalWeb"/>
        <w:spacing w:before="0" w:beforeAutospacing="0" w:after="449" w:afterAutospacing="0"/>
        <w:rPr>
          <w:rFonts w:asciiTheme="minorHAnsi" w:hAnsiTheme="minorHAnsi"/>
          <w:color w:val="1B2331"/>
        </w:rPr>
      </w:pPr>
      <w:proofErr w:type="spellStart"/>
      <w:r w:rsidRPr="001D10FB">
        <w:rPr>
          <w:rFonts w:asciiTheme="minorHAnsi" w:hAnsiTheme="minorHAnsi"/>
          <w:color w:val="1B2331"/>
        </w:rPr>
        <w:t>Omnium</w:t>
      </w:r>
      <w:proofErr w:type="spellEnd"/>
      <w:r w:rsidRPr="001D10FB">
        <w:rPr>
          <w:rFonts w:asciiTheme="minorHAnsi" w:hAnsiTheme="minorHAnsi"/>
          <w:color w:val="1B2331"/>
        </w:rPr>
        <w:t xml:space="preserve"> </w:t>
      </w:r>
      <w:proofErr w:type="spellStart"/>
      <w:r w:rsidRPr="001D10FB">
        <w:rPr>
          <w:rFonts w:asciiTheme="minorHAnsi" w:hAnsiTheme="minorHAnsi"/>
          <w:color w:val="1B2331"/>
        </w:rPr>
        <w:t>Lite</w:t>
      </w:r>
      <w:proofErr w:type="spellEnd"/>
      <w:r w:rsidRPr="001D10FB">
        <w:rPr>
          <w:rFonts w:asciiTheme="minorHAnsi" w:hAnsiTheme="minorHAnsi"/>
          <w:color w:val="1B2331"/>
        </w:rPr>
        <w:t xml:space="preserve"> describes itself as a test environment management </w:t>
      </w:r>
      <w:proofErr w:type="spellStart"/>
      <w:r w:rsidRPr="001D10FB">
        <w:rPr>
          <w:rFonts w:asciiTheme="minorHAnsi" w:hAnsiTheme="minorHAnsi"/>
          <w:color w:val="1B2331"/>
        </w:rPr>
        <w:t>DevSecOps</w:t>
      </w:r>
      <w:proofErr w:type="spellEnd"/>
      <w:r w:rsidRPr="001D10FB">
        <w:rPr>
          <w:rFonts w:asciiTheme="minorHAnsi" w:hAnsiTheme="minorHAnsi"/>
          <w:color w:val="1B2331"/>
        </w:rPr>
        <w:t xml:space="preserve"> toolset. With the help of this tool, organizations can automate booking, scheduling, and requesting IT environments for development, production, and testing </w:t>
      </w:r>
      <w:proofErr w:type="spellStart"/>
      <w:r w:rsidRPr="001D10FB">
        <w:rPr>
          <w:rFonts w:asciiTheme="minorHAnsi" w:hAnsiTheme="minorHAnsi"/>
          <w:color w:val="1B2331"/>
        </w:rPr>
        <w:t>needs.Omnium</w:t>
      </w:r>
      <w:proofErr w:type="spellEnd"/>
      <w:r w:rsidRPr="001D10FB">
        <w:rPr>
          <w:rFonts w:asciiTheme="minorHAnsi" w:hAnsiTheme="minorHAnsi"/>
          <w:color w:val="1B2331"/>
        </w:rPr>
        <w:t xml:space="preserve"> </w:t>
      </w:r>
      <w:proofErr w:type="spellStart"/>
      <w:r w:rsidRPr="001D10FB">
        <w:rPr>
          <w:rFonts w:asciiTheme="minorHAnsi" w:hAnsiTheme="minorHAnsi"/>
          <w:color w:val="1B2331"/>
        </w:rPr>
        <w:t>Lite</w:t>
      </w:r>
      <w:proofErr w:type="spellEnd"/>
      <w:r w:rsidRPr="001D10FB">
        <w:rPr>
          <w:rFonts w:asciiTheme="minorHAnsi" w:hAnsiTheme="minorHAnsi"/>
          <w:color w:val="1B2331"/>
        </w:rPr>
        <w:t xml:space="preserve"> offers monitoring and tracing. Users have real-time visibility into their environments and a calendar view of booked environments.</w:t>
      </w:r>
    </w:p>
    <w:p w:rsidR="001D10FB" w:rsidRDefault="001D10FB" w:rsidP="001D10FB">
      <w:pPr>
        <w:pStyle w:val="Heading3"/>
        <w:spacing w:before="0" w:beforeAutospacing="0" w:after="288" w:afterAutospacing="0"/>
        <w:rPr>
          <w:rFonts w:asciiTheme="minorHAnsi" w:hAnsiTheme="minorHAnsi"/>
          <w:b w:val="0"/>
          <w:bCs w:val="0"/>
          <w:color w:val="1B2331"/>
        </w:rPr>
      </w:pPr>
      <w:proofErr w:type="spellStart"/>
      <w:r w:rsidRPr="001D10FB">
        <w:rPr>
          <w:rFonts w:ascii="montbold" w:hAnsi="montbold"/>
          <w:b w:val="0"/>
          <w:bCs w:val="0"/>
          <w:color w:val="1B2331"/>
          <w:highlight w:val="yellow"/>
        </w:rPr>
        <w:t>ServiceNow</w:t>
      </w:r>
      <w:proofErr w:type="spellEnd"/>
      <w:r w:rsidRPr="001D10FB">
        <w:rPr>
          <w:rFonts w:ascii="montbold" w:hAnsi="montbold"/>
          <w:b w:val="0"/>
          <w:bCs w:val="0"/>
          <w:color w:val="1B2331"/>
          <w:highlight w:val="yellow"/>
        </w:rPr>
        <w:t xml:space="preserve"> Test Management</w:t>
      </w:r>
      <w:r>
        <w:rPr>
          <w:rFonts w:asciiTheme="minorHAnsi" w:hAnsiTheme="minorHAnsi"/>
          <w:b w:val="0"/>
          <w:bCs w:val="0"/>
          <w:color w:val="1B2331"/>
        </w:rPr>
        <w:t>-</w:t>
      </w:r>
    </w:p>
    <w:p w:rsidR="001D10FB" w:rsidRPr="001D10FB" w:rsidRDefault="001D10FB" w:rsidP="001D10FB">
      <w:pPr>
        <w:pStyle w:val="NormalWeb"/>
        <w:spacing w:before="0" w:beforeAutospacing="0" w:after="449" w:afterAutospacing="0"/>
        <w:rPr>
          <w:rFonts w:asciiTheme="minorHAnsi" w:hAnsiTheme="minorHAnsi"/>
          <w:color w:val="1B2331"/>
        </w:rPr>
      </w:pPr>
      <w:proofErr w:type="spellStart"/>
      <w:r w:rsidRPr="001D10FB">
        <w:rPr>
          <w:rFonts w:asciiTheme="minorHAnsi" w:hAnsiTheme="minorHAnsi"/>
          <w:color w:val="1B2331"/>
        </w:rPr>
        <w:t>ServiceNow</w:t>
      </w:r>
      <w:proofErr w:type="spellEnd"/>
      <w:r w:rsidRPr="001D10FB">
        <w:rPr>
          <w:rFonts w:asciiTheme="minorHAnsi" w:hAnsiTheme="minorHAnsi"/>
          <w:color w:val="1B2331"/>
        </w:rPr>
        <w:t xml:space="preserve"> Test Management is an application by </w:t>
      </w:r>
      <w:proofErr w:type="spellStart"/>
      <w:r w:rsidRPr="001D10FB">
        <w:rPr>
          <w:rFonts w:asciiTheme="minorHAnsi" w:hAnsiTheme="minorHAnsi"/>
          <w:color w:val="1B2331"/>
        </w:rPr>
        <w:t>ServiceNow</w:t>
      </w:r>
      <w:proofErr w:type="spellEnd"/>
      <w:r w:rsidRPr="001D10FB">
        <w:rPr>
          <w:rFonts w:asciiTheme="minorHAnsi" w:hAnsiTheme="minorHAnsi"/>
          <w:color w:val="1B2331"/>
        </w:rPr>
        <w:t xml:space="preserve"> that allows users to manage </w:t>
      </w:r>
      <w:hyperlink r:id="rId4" w:history="1">
        <w:r w:rsidRPr="001D10FB">
          <w:rPr>
            <w:rStyle w:val="Hyperlink"/>
            <w:rFonts w:asciiTheme="minorHAnsi" w:hAnsiTheme="minorHAnsi"/>
            <w:color w:val="3D5AFE"/>
          </w:rPr>
          <w:t>manual testing</w:t>
        </w:r>
      </w:hyperlink>
      <w:r w:rsidRPr="001D10FB">
        <w:rPr>
          <w:rFonts w:asciiTheme="minorHAnsi" w:hAnsiTheme="minorHAnsi"/>
          <w:color w:val="1B2331"/>
        </w:rPr>
        <w:t xml:space="preserve"> sessions. It offers the possibility of requesting and booking test environments with the help of Orchestration, another application by </w:t>
      </w:r>
      <w:proofErr w:type="spellStart"/>
      <w:r w:rsidRPr="001D10FB">
        <w:rPr>
          <w:rFonts w:asciiTheme="minorHAnsi" w:hAnsiTheme="minorHAnsi"/>
          <w:color w:val="1B2331"/>
        </w:rPr>
        <w:t>ServiceNow</w:t>
      </w:r>
      <w:proofErr w:type="spellEnd"/>
      <w:r w:rsidRPr="001D10FB">
        <w:rPr>
          <w:rFonts w:asciiTheme="minorHAnsi" w:hAnsiTheme="minorHAnsi"/>
          <w:color w:val="1B2331"/>
        </w:rPr>
        <w:t>.</w:t>
      </w:r>
    </w:p>
    <w:p w:rsidR="001D10FB" w:rsidRPr="001D10FB" w:rsidRDefault="001D10FB" w:rsidP="001D10FB">
      <w:pPr>
        <w:pStyle w:val="Heading3"/>
        <w:spacing w:before="0" w:beforeAutospacing="0" w:after="288" w:afterAutospacing="0"/>
        <w:rPr>
          <w:rFonts w:asciiTheme="minorHAnsi" w:hAnsiTheme="minorHAnsi"/>
          <w:b w:val="0"/>
          <w:bCs w:val="0"/>
          <w:color w:val="1B2331"/>
        </w:rPr>
      </w:pPr>
    </w:p>
    <w:p w:rsidR="001D10FB" w:rsidRPr="001D10FB" w:rsidRDefault="001D10FB" w:rsidP="001D10FB">
      <w:pPr>
        <w:pStyle w:val="NormalWeb"/>
        <w:spacing w:before="0" w:beforeAutospacing="0" w:after="449" w:afterAutospacing="0"/>
        <w:rPr>
          <w:rFonts w:asciiTheme="minorHAnsi" w:hAnsiTheme="minorHAnsi"/>
          <w:color w:val="1B2331"/>
        </w:rPr>
      </w:pPr>
    </w:p>
    <w:p w:rsidR="00BE255C" w:rsidRPr="001D10FB" w:rsidRDefault="001D10FB">
      <w:pPr>
        <w:rPr>
          <w:sz w:val="28"/>
          <w:szCs w:val="28"/>
        </w:rPr>
      </w:pPr>
      <w:r w:rsidRPr="001D10FB">
        <w:rPr>
          <w:sz w:val="28"/>
          <w:szCs w:val="28"/>
        </w:rPr>
        <w:t xml:space="preserve"> </w:t>
      </w:r>
    </w:p>
    <w:sectPr w:rsidR="00BE255C" w:rsidRPr="001D10FB" w:rsidSect="00BE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0FB"/>
    <w:rsid w:val="001D10FB"/>
    <w:rsid w:val="00BE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5C"/>
  </w:style>
  <w:style w:type="paragraph" w:styleId="Heading3">
    <w:name w:val="heading 3"/>
    <w:basedOn w:val="Normal"/>
    <w:link w:val="Heading3Char"/>
    <w:uiPriority w:val="9"/>
    <w:qFormat/>
    <w:rsid w:val="001D1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0F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D10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stim.io/blog/exploratory-tes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2022-11-08T00:27:00Z</dcterms:created>
  <dcterms:modified xsi:type="dcterms:W3CDTF">2022-11-08T00:34:00Z</dcterms:modified>
</cp:coreProperties>
</file>