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27DFB" w14:textId="6A329DA1" w:rsidR="00AA53F7" w:rsidRPr="00AA53F7" w:rsidRDefault="00AA53F7" w:rsidP="00AA53F7">
      <w:pPr>
        <w:jc w:val="center"/>
        <w:rPr>
          <w:sz w:val="40"/>
          <w:szCs w:val="40"/>
        </w:rPr>
      </w:pPr>
      <w:proofErr w:type="spellStart"/>
      <w:r w:rsidRPr="00AA53F7">
        <w:rPr>
          <w:b/>
          <w:bCs/>
          <w:sz w:val="40"/>
          <w:szCs w:val="40"/>
        </w:rPr>
        <w:t>NexaTel</w:t>
      </w:r>
      <w:proofErr w:type="spellEnd"/>
      <w:r w:rsidRPr="00AA53F7">
        <w:rPr>
          <w:b/>
          <w:bCs/>
          <w:sz w:val="40"/>
          <w:szCs w:val="40"/>
        </w:rPr>
        <w:t xml:space="preserve"> Customer Churn Analysis</w:t>
      </w:r>
    </w:p>
    <w:p w14:paraId="2357FC6C" w14:textId="77777777" w:rsidR="00AA53F7" w:rsidRPr="00AA53F7" w:rsidRDefault="00AA53F7" w:rsidP="00AA53F7">
      <w:pPr>
        <w:jc w:val="both"/>
        <w:rPr>
          <w:sz w:val="22"/>
          <w:szCs w:val="22"/>
        </w:rPr>
      </w:pPr>
      <w:r w:rsidRPr="00AA53F7">
        <w:rPr>
          <w:sz w:val="22"/>
          <w:szCs w:val="22"/>
        </w:rPr>
        <w:t xml:space="preserve">To: Chief Customer Officer, </w:t>
      </w:r>
      <w:proofErr w:type="spellStart"/>
      <w:r w:rsidRPr="00AA53F7">
        <w:rPr>
          <w:sz w:val="22"/>
          <w:szCs w:val="22"/>
        </w:rPr>
        <w:t>NexaTel</w:t>
      </w:r>
      <w:proofErr w:type="spellEnd"/>
    </w:p>
    <w:p w14:paraId="017B86D7" w14:textId="5F9A7CD6" w:rsidR="00AA53F7" w:rsidRPr="00AA53F7" w:rsidRDefault="00AA53F7" w:rsidP="00AA53F7">
      <w:pPr>
        <w:jc w:val="both"/>
        <w:rPr>
          <w:sz w:val="22"/>
          <w:szCs w:val="22"/>
        </w:rPr>
      </w:pPr>
      <w:r w:rsidRPr="00AA53F7">
        <w:rPr>
          <w:sz w:val="22"/>
          <w:szCs w:val="22"/>
        </w:rPr>
        <w:t>From: Mayuri Maneguldhe</w:t>
      </w:r>
    </w:p>
    <w:p w14:paraId="7AF0A425" w14:textId="77777777" w:rsidR="00AA53F7" w:rsidRPr="00AA53F7" w:rsidRDefault="00AA53F7" w:rsidP="00AA53F7">
      <w:pPr>
        <w:jc w:val="both"/>
        <w:rPr>
          <w:sz w:val="22"/>
          <w:szCs w:val="22"/>
        </w:rPr>
      </w:pPr>
      <w:r w:rsidRPr="00AA53F7">
        <w:rPr>
          <w:sz w:val="22"/>
          <w:szCs w:val="22"/>
        </w:rPr>
        <w:t>Date: July 28, 2026</w:t>
      </w:r>
    </w:p>
    <w:p w14:paraId="7CD60890" w14:textId="77777777" w:rsidR="00AA53F7" w:rsidRPr="00AA53F7" w:rsidRDefault="00AA53F7" w:rsidP="00AA53F7">
      <w:pPr>
        <w:jc w:val="both"/>
        <w:rPr>
          <w:sz w:val="22"/>
          <w:szCs w:val="22"/>
        </w:rPr>
      </w:pPr>
      <w:r w:rsidRPr="00AA53F7">
        <w:rPr>
          <w:sz w:val="22"/>
          <w:szCs w:val="22"/>
        </w:rPr>
        <w:t>Re: Phase 4 — Customer Churn Analysis and Retention Recommendations</w:t>
      </w:r>
    </w:p>
    <w:p w14:paraId="3A13820F" w14:textId="77777777" w:rsidR="00AA53F7" w:rsidRPr="00AA53F7" w:rsidRDefault="00AA53F7" w:rsidP="00AA53F7">
      <w:pPr>
        <w:jc w:val="both"/>
        <w:rPr>
          <w:b/>
          <w:bCs/>
          <w:sz w:val="22"/>
          <w:szCs w:val="22"/>
        </w:rPr>
      </w:pPr>
      <w:r w:rsidRPr="00AA53F7">
        <w:rPr>
          <w:b/>
          <w:bCs/>
          <w:sz w:val="22"/>
          <w:szCs w:val="22"/>
        </w:rPr>
        <w:t>Executive Summary</w:t>
      </w:r>
    </w:p>
    <w:p w14:paraId="19715C22" w14:textId="77777777" w:rsidR="00AA53F7" w:rsidRPr="00AA53F7" w:rsidRDefault="00AA53F7" w:rsidP="00AA53F7">
      <w:pPr>
        <w:jc w:val="both"/>
        <w:rPr>
          <w:sz w:val="22"/>
          <w:szCs w:val="22"/>
        </w:rPr>
      </w:pPr>
      <w:r w:rsidRPr="00AA53F7">
        <w:rPr>
          <w:sz w:val="22"/>
          <w:szCs w:val="22"/>
        </w:rPr>
        <w:t>Of the 19,000 customers in the base, 3,506 have churned — an overall churn rate of 18.5%, or roughly 1 in every 5.4 customers. Churn is heavily concentrated in the first year of the relationship: customers in their first 6 months leave at a 62% rate, compared to under 6% for customers who have stayed 5 years or more, meaning our biggest exposure is losing customers before they are fully onboarded. Customers who complain, report low satisfaction, or experience network problems churn at close to double the rate of satisfied, trouble-free customers, showing that service experience is a strong and controllable churn driver. The Mass and Value segments churn at 27% and 21% respectively, well above the 12-15% seen in Enterprise and Premium, indicating the risk is not evenly spread across the customer base. Based on current plan pricing, customers who have already churned represent about ₹2.25 million in lost monthly recurring revenue, or roughly ₹2.7 crore (₹27 million) annualised. The overall picture is a retention problem that is front-loaded in the customer lifecycle and strongly tied to service quality — both of which are addressable with targeted operational changes rather than blanket discounting.</w:t>
      </w:r>
    </w:p>
    <w:p w14:paraId="2CE8404C" w14:textId="77777777" w:rsidR="00AA53F7" w:rsidRPr="00AA53F7" w:rsidRDefault="00AA53F7" w:rsidP="00AA53F7">
      <w:pPr>
        <w:jc w:val="both"/>
        <w:rPr>
          <w:b/>
          <w:bCs/>
          <w:sz w:val="22"/>
          <w:szCs w:val="22"/>
        </w:rPr>
      </w:pPr>
      <w:r w:rsidRPr="00AA53F7">
        <w:rPr>
          <w:b/>
          <w:bCs/>
          <w:sz w:val="22"/>
          <w:szCs w:val="22"/>
        </w:rPr>
        <w:t>Top 3 Findings — What Is Driving Churn</w:t>
      </w:r>
    </w:p>
    <w:p w14:paraId="64F76312" w14:textId="77777777" w:rsidR="00AA53F7" w:rsidRPr="00AA53F7" w:rsidRDefault="00AA53F7" w:rsidP="00AA53F7">
      <w:pPr>
        <w:numPr>
          <w:ilvl w:val="0"/>
          <w:numId w:val="1"/>
        </w:numPr>
        <w:jc w:val="both"/>
        <w:rPr>
          <w:sz w:val="22"/>
          <w:szCs w:val="22"/>
        </w:rPr>
      </w:pPr>
      <w:r w:rsidRPr="00AA53F7">
        <w:rPr>
          <w:b/>
          <w:bCs/>
          <w:sz w:val="22"/>
          <w:szCs w:val="22"/>
        </w:rPr>
        <w:t xml:space="preserve">1. The first year is a cliff, not a slope. </w:t>
      </w:r>
      <w:r w:rsidRPr="00AA53F7">
        <w:rPr>
          <w:sz w:val="22"/>
          <w:szCs w:val="22"/>
        </w:rPr>
        <w:t>Customers leave earliest, and leave a lot: churn is 62% in months 0-6 and 50% in months 7-12, falling steadily to 30% by year 2-3 and under 6% after 5 years. This is by far the strongest pattern in the data — the first year is where most of our churn happens.</w:t>
      </w:r>
    </w:p>
    <w:p w14:paraId="01A0A3FA" w14:textId="77777777" w:rsidR="00AA53F7" w:rsidRPr="00AA53F7" w:rsidRDefault="00AA53F7" w:rsidP="00AA53F7">
      <w:pPr>
        <w:numPr>
          <w:ilvl w:val="0"/>
          <w:numId w:val="1"/>
        </w:numPr>
        <w:jc w:val="both"/>
        <w:rPr>
          <w:sz w:val="22"/>
          <w:szCs w:val="22"/>
        </w:rPr>
      </w:pPr>
      <w:r w:rsidRPr="00AA53F7">
        <w:rPr>
          <w:b/>
          <w:bCs/>
          <w:sz w:val="22"/>
          <w:szCs w:val="22"/>
        </w:rPr>
        <w:t xml:space="preserve">2. Poor service experience is the clearest controllable driver. </w:t>
      </w:r>
      <w:r w:rsidRPr="00AA53F7">
        <w:rPr>
          <w:sz w:val="22"/>
          <w:szCs w:val="22"/>
        </w:rPr>
        <w:t>Customers with a support complaint on file churn at 21%, versus 15% for those with none. Customers reporting low satisfaction (CSAT 1-2) churn at 26%, nearly double the 14.6% rate for highly satisfied customers, and churn rises steadily with the number of support tickets a customer has raised (from 15% with zero tickets to 24% with four or more). Customers experiencing frequent dropped calls also churn at 22.5%, versus 14.3% for those with a stable connection.</w:t>
      </w:r>
    </w:p>
    <w:p w14:paraId="0ABF59A8" w14:textId="77777777" w:rsidR="00AA53F7" w:rsidRPr="00AA53F7" w:rsidRDefault="00AA53F7" w:rsidP="00AA53F7">
      <w:pPr>
        <w:numPr>
          <w:ilvl w:val="0"/>
          <w:numId w:val="1"/>
        </w:numPr>
        <w:jc w:val="both"/>
        <w:rPr>
          <w:sz w:val="22"/>
          <w:szCs w:val="22"/>
        </w:rPr>
      </w:pPr>
      <w:r w:rsidRPr="00AA53F7">
        <w:rPr>
          <w:b/>
          <w:bCs/>
          <w:sz w:val="22"/>
          <w:szCs w:val="22"/>
        </w:rPr>
        <w:t xml:space="preserve">3. Risk is concentrated in specific segments and products. </w:t>
      </w:r>
      <w:r w:rsidRPr="00AA53F7">
        <w:rPr>
          <w:sz w:val="22"/>
          <w:szCs w:val="22"/>
        </w:rPr>
        <w:t>Mass segment customers churn at 26.7% and Value segment at 20.6%, compared to 15.1% for Premium and 11.9% for Enterprise. Similarly, emerging/bundled product lines (Smart Home 23.2%, OTT Bundles 22.6%, 5G 20.7%) churn noticeably more than core Fiber Broadband (15.8%) and Enterprise (6.2%) lines.</w:t>
      </w:r>
    </w:p>
    <w:p w14:paraId="69DF3F79" w14:textId="77777777" w:rsidR="00AA53F7" w:rsidRPr="00AA53F7" w:rsidRDefault="00AA53F7" w:rsidP="00AA53F7">
      <w:pPr>
        <w:jc w:val="both"/>
        <w:rPr>
          <w:b/>
          <w:bCs/>
          <w:sz w:val="22"/>
          <w:szCs w:val="22"/>
        </w:rPr>
      </w:pPr>
      <w:r w:rsidRPr="00AA53F7">
        <w:rPr>
          <w:b/>
          <w:bCs/>
          <w:sz w:val="22"/>
          <w:szCs w:val="22"/>
        </w:rPr>
        <w:t>Risks Identified — The Numbers That Should Worry Us</w:t>
      </w:r>
    </w:p>
    <w:p w14:paraId="3492E833" w14:textId="77777777" w:rsidR="00AA53F7" w:rsidRPr="00AA53F7" w:rsidRDefault="00AA53F7" w:rsidP="00AA53F7">
      <w:pPr>
        <w:numPr>
          <w:ilvl w:val="0"/>
          <w:numId w:val="1"/>
        </w:numPr>
        <w:jc w:val="both"/>
        <w:rPr>
          <w:sz w:val="22"/>
          <w:szCs w:val="22"/>
        </w:rPr>
      </w:pPr>
      <w:r w:rsidRPr="00AA53F7">
        <w:rPr>
          <w:sz w:val="22"/>
          <w:szCs w:val="22"/>
        </w:rPr>
        <w:lastRenderedPageBreak/>
        <w:t>18.5% base-wide churn (3,506 customers) is high enough that it is eroding growth even where new sign-ups are healthy.</w:t>
      </w:r>
    </w:p>
    <w:p w14:paraId="02E2C998" w14:textId="77777777" w:rsidR="00AA53F7" w:rsidRPr="00AA53F7" w:rsidRDefault="00AA53F7" w:rsidP="00AA53F7">
      <w:pPr>
        <w:numPr>
          <w:ilvl w:val="0"/>
          <w:numId w:val="1"/>
        </w:numPr>
        <w:jc w:val="both"/>
        <w:rPr>
          <w:sz w:val="22"/>
          <w:szCs w:val="22"/>
        </w:rPr>
      </w:pPr>
      <w:r w:rsidRPr="00AA53F7">
        <w:rPr>
          <w:sz w:val="22"/>
          <w:szCs w:val="22"/>
        </w:rPr>
        <w:t>62% of customers who joined in the last 6 months are not making it past that window — this points to a breakdown in onboarding, not a pricing problem.</w:t>
      </w:r>
    </w:p>
    <w:p w14:paraId="515C7042" w14:textId="77777777" w:rsidR="00AA53F7" w:rsidRPr="00AA53F7" w:rsidRDefault="00AA53F7" w:rsidP="00AA53F7">
      <w:pPr>
        <w:numPr>
          <w:ilvl w:val="0"/>
          <w:numId w:val="1"/>
        </w:numPr>
        <w:jc w:val="both"/>
        <w:rPr>
          <w:sz w:val="22"/>
          <w:szCs w:val="22"/>
        </w:rPr>
      </w:pPr>
      <w:r w:rsidRPr="00AA53F7">
        <w:rPr>
          <w:sz w:val="22"/>
          <w:szCs w:val="22"/>
        </w:rPr>
        <w:t>₹27 million in annualised recurring revenue has already walked out the door with churned customers, based on their last known plan value.</w:t>
      </w:r>
    </w:p>
    <w:p w14:paraId="624B7BFA" w14:textId="77777777" w:rsidR="00AA53F7" w:rsidRPr="00AA53F7" w:rsidRDefault="00AA53F7" w:rsidP="00AA53F7">
      <w:pPr>
        <w:numPr>
          <w:ilvl w:val="0"/>
          <w:numId w:val="1"/>
        </w:numPr>
        <w:jc w:val="both"/>
        <w:rPr>
          <w:sz w:val="22"/>
          <w:szCs w:val="22"/>
        </w:rPr>
      </w:pPr>
      <w:r w:rsidRPr="00AA53F7">
        <w:rPr>
          <w:sz w:val="22"/>
          <w:szCs w:val="22"/>
        </w:rPr>
        <w:t>Nearly 1 in 4 Mass-segment customers (26.7%) is churning — this is our largest customer segment by count after Premium, so the absolute revenue and volume loss here is significant.</w:t>
      </w:r>
    </w:p>
    <w:p w14:paraId="04E01B29" w14:textId="77777777" w:rsidR="00AA53F7" w:rsidRPr="00AA53F7" w:rsidRDefault="00AA53F7" w:rsidP="00AA53F7">
      <w:pPr>
        <w:numPr>
          <w:ilvl w:val="0"/>
          <w:numId w:val="1"/>
        </w:numPr>
        <w:jc w:val="both"/>
        <w:rPr>
          <w:sz w:val="22"/>
          <w:szCs w:val="22"/>
        </w:rPr>
      </w:pPr>
      <w:r w:rsidRPr="00AA53F7">
        <w:rPr>
          <w:sz w:val="22"/>
          <w:szCs w:val="22"/>
        </w:rPr>
        <w:t>Customers with low satisfaction scores churn at nearly 2x the rate of satisfied customers, which means dissatisfaction is being detected (via CSAT/NPS surveys) well before the customer actually leaves — and today that signal does not appear to be triggering a save action.</w:t>
      </w:r>
    </w:p>
    <w:p w14:paraId="247EB89B" w14:textId="77777777" w:rsidR="00AA53F7" w:rsidRPr="00AA53F7" w:rsidRDefault="00AA53F7" w:rsidP="00AA53F7">
      <w:pPr>
        <w:jc w:val="both"/>
        <w:rPr>
          <w:b/>
          <w:bCs/>
          <w:sz w:val="22"/>
          <w:szCs w:val="22"/>
        </w:rPr>
      </w:pPr>
      <w:r w:rsidRPr="00AA53F7">
        <w:rPr>
          <w:b/>
          <w:bCs/>
          <w:sz w:val="22"/>
          <w:szCs w:val="22"/>
        </w:rPr>
        <w:t>Opportunities — Where to Focus Retention Effort</w:t>
      </w:r>
    </w:p>
    <w:p w14:paraId="2C7CDB71" w14:textId="77777777" w:rsidR="00AA53F7" w:rsidRPr="00AA53F7" w:rsidRDefault="00AA53F7" w:rsidP="00AA53F7">
      <w:pPr>
        <w:numPr>
          <w:ilvl w:val="0"/>
          <w:numId w:val="1"/>
        </w:numPr>
        <w:jc w:val="both"/>
        <w:rPr>
          <w:sz w:val="22"/>
          <w:szCs w:val="22"/>
        </w:rPr>
      </w:pPr>
      <w:r w:rsidRPr="00AA53F7">
        <w:rPr>
          <w:sz w:val="22"/>
          <w:szCs w:val="22"/>
        </w:rPr>
        <w:t>Active customers still within their first 12 months represent about ₹690,000 in monthly recurring revenue. Because this group has the highest churn propensity in the entire base, a modest improvement in first-year retention protects a disproportionate amount of revenue for the effort involved.</w:t>
      </w:r>
    </w:p>
    <w:p w14:paraId="4CFB3C51" w14:textId="77777777" w:rsidR="00AA53F7" w:rsidRPr="00AA53F7" w:rsidRDefault="00AA53F7" w:rsidP="00AA53F7">
      <w:pPr>
        <w:numPr>
          <w:ilvl w:val="0"/>
          <w:numId w:val="1"/>
        </w:numPr>
        <w:jc w:val="both"/>
        <w:rPr>
          <w:sz w:val="22"/>
          <w:szCs w:val="22"/>
        </w:rPr>
      </w:pPr>
      <w:r w:rsidRPr="00AA53F7">
        <w:rPr>
          <w:sz w:val="22"/>
          <w:szCs w:val="22"/>
        </w:rPr>
        <w:t>Active Mass-segment customers represent roughly ₹540,000 in monthly recurring revenue at a segment-level churn rate nearly double the base average — a targeted, lower-cost retention offer here is likely to pay for itself quickly.</w:t>
      </w:r>
    </w:p>
    <w:p w14:paraId="5D45C717" w14:textId="77777777" w:rsidR="00AA53F7" w:rsidRPr="00AA53F7" w:rsidRDefault="00AA53F7" w:rsidP="00AA53F7">
      <w:pPr>
        <w:numPr>
          <w:ilvl w:val="0"/>
          <w:numId w:val="1"/>
        </w:numPr>
        <w:jc w:val="both"/>
        <w:rPr>
          <w:sz w:val="22"/>
          <w:szCs w:val="22"/>
        </w:rPr>
      </w:pPr>
      <w:r w:rsidRPr="00AA53F7">
        <w:rPr>
          <w:sz w:val="22"/>
          <w:szCs w:val="22"/>
        </w:rPr>
        <w:t>Customers already showing warning signs today — an open complaint, a low CSAT score, or repeated support tickets — are identifiable before they churn. Acting on this group is cheaper than broad-based discounting and targets people who have already told us they are unhappy.</w:t>
      </w:r>
    </w:p>
    <w:p w14:paraId="58F3AB20" w14:textId="77777777" w:rsidR="00AA53F7" w:rsidRPr="00AA53F7" w:rsidRDefault="00AA53F7" w:rsidP="00AA53F7">
      <w:pPr>
        <w:jc w:val="both"/>
        <w:rPr>
          <w:b/>
          <w:bCs/>
          <w:sz w:val="22"/>
          <w:szCs w:val="22"/>
        </w:rPr>
      </w:pPr>
      <w:r w:rsidRPr="00AA53F7">
        <w:rPr>
          <w:b/>
          <w:bCs/>
          <w:sz w:val="22"/>
          <w:szCs w:val="22"/>
        </w:rPr>
        <w:t>Recommendations</w:t>
      </w:r>
    </w:p>
    <w:p w14:paraId="16F8C870" w14:textId="77777777" w:rsidR="00AA53F7" w:rsidRPr="00AA53F7" w:rsidRDefault="00AA53F7" w:rsidP="00AA53F7">
      <w:pPr>
        <w:numPr>
          <w:ilvl w:val="0"/>
          <w:numId w:val="1"/>
        </w:numPr>
        <w:jc w:val="both"/>
        <w:rPr>
          <w:sz w:val="22"/>
          <w:szCs w:val="22"/>
        </w:rPr>
      </w:pPr>
      <w:r w:rsidRPr="00AA53F7">
        <w:rPr>
          <w:b/>
          <w:bCs/>
          <w:sz w:val="22"/>
          <w:szCs w:val="22"/>
        </w:rPr>
        <w:t xml:space="preserve">1. </w:t>
      </w:r>
      <w:r w:rsidRPr="00AA53F7">
        <w:rPr>
          <w:sz w:val="22"/>
          <w:szCs w:val="22"/>
        </w:rPr>
        <w:t xml:space="preserve">Build a 90-day onboarding journey for new customers (welcome </w:t>
      </w:r>
      <w:proofErr w:type="gramStart"/>
      <w:r w:rsidRPr="00AA53F7">
        <w:rPr>
          <w:sz w:val="22"/>
          <w:szCs w:val="22"/>
        </w:rPr>
        <w:t>call in</w:t>
      </w:r>
      <w:proofErr w:type="gramEnd"/>
      <w:r w:rsidRPr="00AA53F7">
        <w:rPr>
          <w:sz w:val="22"/>
          <w:szCs w:val="22"/>
        </w:rPr>
        <w:t xml:space="preserve"> week one, a proactive check-in around day 30, and a plan/usage review around day 90). Since 62% of first-year churn happens in the first 6 months, this is the single highest-leverage fix available.</w:t>
      </w:r>
    </w:p>
    <w:p w14:paraId="612E340C" w14:textId="77777777" w:rsidR="00AA53F7" w:rsidRPr="00AA53F7" w:rsidRDefault="00AA53F7" w:rsidP="00AA53F7">
      <w:pPr>
        <w:numPr>
          <w:ilvl w:val="0"/>
          <w:numId w:val="1"/>
        </w:numPr>
        <w:jc w:val="both"/>
        <w:rPr>
          <w:sz w:val="22"/>
          <w:szCs w:val="22"/>
        </w:rPr>
      </w:pPr>
      <w:r w:rsidRPr="00AA53F7">
        <w:rPr>
          <w:b/>
          <w:bCs/>
          <w:sz w:val="22"/>
          <w:szCs w:val="22"/>
        </w:rPr>
        <w:t xml:space="preserve">2. </w:t>
      </w:r>
      <w:r w:rsidRPr="00AA53F7">
        <w:rPr>
          <w:sz w:val="22"/>
          <w:szCs w:val="22"/>
        </w:rPr>
        <w:t>Stand up a service-recovery workflow that automatically flags any customer with 2 or more support tickets or a CSAT score of 2 or below, and routes them to a retention specialist within 48 hours — rather than waiting for the customer to churn or complain again.</w:t>
      </w:r>
    </w:p>
    <w:p w14:paraId="448F9583" w14:textId="77777777" w:rsidR="00AA53F7" w:rsidRPr="00AA53F7" w:rsidRDefault="00AA53F7" w:rsidP="00AA53F7">
      <w:pPr>
        <w:numPr>
          <w:ilvl w:val="0"/>
          <w:numId w:val="1"/>
        </w:numPr>
        <w:jc w:val="both"/>
        <w:rPr>
          <w:sz w:val="22"/>
          <w:szCs w:val="22"/>
        </w:rPr>
      </w:pPr>
      <w:r w:rsidRPr="00AA53F7">
        <w:rPr>
          <w:b/>
          <w:bCs/>
          <w:sz w:val="22"/>
          <w:szCs w:val="22"/>
        </w:rPr>
        <w:t xml:space="preserve">3. </w:t>
      </w:r>
      <w:r w:rsidRPr="00AA53F7">
        <w:rPr>
          <w:sz w:val="22"/>
          <w:szCs w:val="22"/>
        </w:rPr>
        <w:t>Design segment-specific save offers for Mass and Value customers (e.g., loyalty pricing, right-sized plans) instead of a one-size-fits-all discount, since these two segments account for a disproportionate share of both churn and remaining revenue.</w:t>
      </w:r>
    </w:p>
    <w:p w14:paraId="5367A4AC" w14:textId="77777777" w:rsidR="00AA53F7" w:rsidRPr="00AA53F7" w:rsidRDefault="00AA53F7" w:rsidP="00AA53F7">
      <w:pPr>
        <w:numPr>
          <w:ilvl w:val="0"/>
          <w:numId w:val="1"/>
        </w:numPr>
        <w:jc w:val="both"/>
        <w:rPr>
          <w:sz w:val="22"/>
          <w:szCs w:val="22"/>
        </w:rPr>
      </w:pPr>
      <w:r w:rsidRPr="00AA53F7">
        <w:rPr>
          <w:b/>
          <w:bCs/>
          <w:sz w:val="22"/>
          <w:szCs w:val="22"/>
        </w:rPr>
        <w:lastRenderedPageBreak/>
        <w:t xml:space="preserve">4. </w:t>
      </w:r>
      <w:r w:rsidRPr="00AA53F7">
        <w:rPr>
          <w:sz w:val="22"/>
          <w:szCs w:val="22"/>
        </w:rPr>
        <w:t>Prioritise network reliability improvements (dropped-call rate) in the areas driving the high-drop-rate customer group, since this group churns at nearly double the rate of customers with a stable connection.</w:t>
      </w:r>
    </w:p>
    <w:p w14:paraId="74DE2625" w14:textId="77777777" w:rsidR="00F71074" w:rsidRPr="00AA53F7" w:rsidRDefault="00F71074" w:rsidP="00AA53F7">
      <w:pPr>
        <w:jc w:val="both"/>
        <w:rPr>
          <w:sz w:val="22"/>
          <w:szCs w:val="22"/>
        </w:rPr>
      </w:pPr>
    </w:p>
    <w:sectPr w:rsidR="00F71074" w:rsidRPr="00AA53F7" w:rsidSect="00AA53F7">
      <w:headerReference w:type="default" r:id="rId7"/>
      <w:footerReference w:type="default" r:id="rId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530AAC" w14:textId="77777777" w:rsidR="00157EAC" w:rsidRDefault="00157EAC" w:rsidP="00AA53F7">
      <w:pPr>
        <w:spacing w:after="0" w:line="240" w:lineRule="auto"/>
      </w:pPr>
      <w:r>
        <w:separator/>
      </w:r>
    </w:p>
  </w:endnote>
  <w:endnote w:type="continuationSeparator" w:id="0">
    <w:p w14:paraId="216B135D" w14:textId="77777777" w:rsidR="00157EAC" w:rsidRDefault="00157EAC" w:rsidP="00AA53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9936301"/>
      <w:docPartObj>
        <w:docPartGallery w:val="Page Numbers (Bottom of Page)"/>
        <w:docPartUnique/>
      </w:docPartObj>
    </w:sdtPr>
    <w:sdtEndPr>
      <w:rPr>
        <w:noProof/>
      </w:rPr>
    </w:sdtEndPr>
    <w:sdtContent>
      <w:p w14:paraId="62EBE5BB" w14:textId="0319F101" w:rsidR="00AA53F7" w:rsidRDefault="00AA53F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8629690" w14:textId="77777777" w:rsidR="00AA53F7" w:rsidRDefault="00AA53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A848A2" w14:textId="77777777" w:rsidR="00157EAC" w:rsidRDefault="00157EAC" w:rsidP="00AA53F7">
      <w:pPr>
        <w:spacing w:after="0" w:line="240" w:lineRule="auto"/>
      </w:pPr>
      <w:r>
        <w:separator/>
      </w:r>
    </w:p>
  </w:footnote>
  <w:footnote w:type="continuationSeparator" w:id="0">
    <w:p w14:paraId="43F999F3" w14:textId="77777777" w:rsidR="00157EAC" w:rsidRDefault="00157EAC" w:rsidP="00AA53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AA91D" w14:textId="77777777" w:rsidR="00AA53F7" w:rsidRDefault="00AA53F7">
    <w:pPr>
      <w:pStyle w:val="Header"/>
      <w:rPr>
        <w:lang w:val="en-US"/>
      </w:rPr>
    </w:pPr>
  </w:p>
  <w:p w14:paraId="626C30CD" w14:textId="77777777" w:rsidR="00AA53F7" w:rsidRPr="00AA53F7" w:rsidRDefault="00AA53F7">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5949D5"/>
    <w:multiLevelType w:val="multilevel"/>
    <w:tmpl w:val="80E6578E"/>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num w:numId="1" w16cid:durableId="641539405">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3F7"/>
    <w:rsid w:val="00157EAC"/>
    <w:rsid w:val="00A12C2F"/>
    <w:rsid w:val="00AA53F7"/>
    <w:rsid w:val="00CC1917"/>
    <w:rsid w:val="00F710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4521F3"/>
  <w15:chartTrackingRefBased/>
  <w15:docId w15:val="{F76F784C-5410-46B1-8E57-1F37BFE4FA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53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53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53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53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53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53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53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53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53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53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53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53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53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53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53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53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53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53F7"/>
    <w:rPr>
      <w:rFonts w:eastAsiaTheme="majorEastAsia" w:cstheme="majorBidi"/>
      <w:color w:val="272727" w:themeColor="text1" w:themeTint="D8"/>
    </w:rPr>
  </w:style>
  <w:style w:type="paragraph" w:styleId="Title">
    <w:name w:val="Title"/>
    <w:basedOn w:val="Normal"/>
    <w:next w:val="Normal"/>
    <w:link w:val="TitleChar"/>
    <w:uiPriority w:val="10"/>
    <w:qFormat/>
    <w:rsid w:val="00AA53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53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53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53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53F7"/>
    <w:pPr>
      <w:spacing w:before="160"/>
      <w:jc w:val="center"/>
    </w:pPr>
    <w:rPr>
      <w:i/>
      <w:iCs/>
      <w:color w:val="404040" w:themeColor="text1" w:themeTint="BF"/>
    </w:rPr>
  </w:style>
  <w:style w:type="character" w:customStyle="1" w:styleId="QuoteChar">
    <w:name w:val="Quote Char"/>
    <w:basedOn w:val="DefaultParagraphFont"/>
    <w:link w:val="Quote"/>
    <w:uiPriority w:val="29"/>
    <w:rsid w:val="00AA53F7"/>
    <w:rPr>
      <w:i/>
      <w:iCs/>
      <w:color w:val="404040" w:themeColor="text1" w:themeTint="BF"/>
    </w:rPr>
  </w:style>
  <w:style w:type="paragraph" w:styleId="ListParagraph">
    <w:name w:val="List Paragraph"/>
    <w:basedOn w:val="Normal"/>
    <w:uiPriority w:val="34"/>
    <w:qFormat/>
    <w:rsid w:val="00AA53F7"/>
    <w:pPr>
      <w:ind w:left="720"/>
      <w:contextualSpacing/>
    </w:pPr>
  </w:style>
  <w:style w:type="character" w:styleId="IntenseEmphasis">
    <w:name w:val="Intense Emphasis"/>
    <w:basedOn w:val="DefaultParagraphFont"/>
    <w:uiPriority w:val="21"/>
    <w:qFormat/>
    <w:rsid w:val="00AA53F7"/>
    <w:rPr>
      <w:i/>
      <w:iCs/>
      <w:color w:val="0F4761" w:themeColor="accent1" w:themeShade="BF"/>
    </w:rPr>
  </w:style>
  <w:style w:type="paragraph" w:styleId="IntenseQuote">
    <w:name w:val="Intense Quote"/>
    <w:basedOn w:val="Normal"/>
    <w:next w:val="Normal"/>
    <w:link w:val="IntenseQuoteChar"/>
    <w:uiPriority w:val="30"/>
    <w:qFormat/>
    <w:rsid w:val="00AA53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53F7"/>
    <w:rPr>
      <w:i/>
      <w:iCs/>
      <w:color w:val="0F4761" w:themeColor="accent1" w:themeShade="BF"/>
    </w:rPr>
  </w:style>
  <w:style w:type="character" w:styleId="IntenseReference">
    <w:name w:val="Intense Reference"/>
    <w:basedOn w:val="DefaultParagraphFont"/>
    <w:uiPriority w:val="32"/>
    <w:qFormat/>
    <w:rsid w:val="00AA53F7"/>
    <w:rPr>
      <w:b/>
      <w:bCs/>
      <w:smallCaps/>
      <w:color w:val="0F4761" w:themeColor="accent1" w:themeShade="BF"/>
      <w:spacing w:val="5"/>
    </w:rPr>
  </w:style>
  <w:style w:type="paragraph" w:styleId="Header">
    <w:name w:val="header"/>
    <w:basedOn w:val="Normal"/>
    <w:link w:val="HeaderChar"/>
    <w:uiPriority w:val="99"/>
    <w:unhideWhenUsed/>
    <w:rsid w:val="00AA53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AA53F7"/>
  </w:style>
  <w:style w:type="paragraph" w:styleId="Footer">
    <w:name w:val="footer"/>
    <w:basedOn w:val="Normal"/>
    <w:link w:val="FooterChar"/>
    <w:uiPriority w:val="99"/>
    <w:unhideWhenUsed/>
    <w:rsid w:val="00AA53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AA53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808</Words>
  <Characters>4609</Characters>
  <Application>Microsoft Office Word</Application>
  <DocSecurity>0</DocSecurity>
  <Lines>38</Lines>
  <Paragraphs>10</Paragraphs>
  <ScaleCrop>false</ScaleCrop>
  <Company/>
  <LinksUpToDate>false</LinksUpToDate>
  <CharactersWithSpaces>5407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mayuri maneguldhe</dc:creator>
  <cp:keywords/>
  <dc:description/>
  <cp:lastModifiedBy>mayuri maneguldhe</cp:lastModifiedBy>
  <cp:revision>1</cp:revision>
  <dcterms:created xsi:type="dcterms:W3CDTF">2026-07-28T09:33:00Z</dcterms:created>
  <dcterms:modified xsi:type="dcterms:W3CDTF">2026-07-28T09:40:00Z</dcterms:modified>
</cp:coreProperties>
</file>