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E096A">
      <w:pPr>
        <w:spacing w:after="40"/>
      </w:pPr>
      <w:r>
        <w:rPr>
          <w:b/>
          <w:bCs/>
          <w:color w:val="8B5FA8"/>
          <w:sz w:val="40"/>
          <w:szCs w:val="40"/>
        </w:rPr>
        <w:t>StreamFlix Content Analytics</w:t>
      </w:r>
    </w:p>
    <w:p w14:paraId="74936310">
      <w:pPr>
        <w:spacing w:after="280"/>
        <w:rPr>
          <w:rFonts w:hint="default"/>
          <w:lang w:val="en-US"/>
        </w:rPr>
      </w:pPr>
      <w:r>
        <w:rPr>
          <w:i/>
          <w:iCs/>
          <w:color w:val="3D3D3D"/>
          <w:sz w:val="26"/>
          <w:szCs w:val="26"/>
        </w:rPr>
        <w:t>Phase 4 — Management Summary Repor</w:t>
      </w:r>
      <w:r>
        <w:rPr>
          <w:rFonts w:hint="default"/>
          <w:i/>
          <w:iCs/>
          <w:color w:val="3D3D3D"/>
          <w:sz w:val="26"/>
          <w:szCs w:val="26"/>
          <w:lang w:val="en-US"/>
        </w:rPr>
        <w:t>t</w:t>
      </w:r>
    </w:p>
    <w:p w14:paraId="4D0FA7DE">
      <w:pPr>
        <w:pStyle w:val="2"/>
        <w:pBdr>
          <w:bottom w:val="single" w:color="8B5FA8" w:sz="6" w:space="4"/>
        </w:pBdr>
        <w:spacing w:before="320" w:after="160"/>
      </w:pPr>
      <w:bookmarkStart w:id="0" w:name="_GoBack"/>
      <w:r>
        <w:rPr>
          <w:b/>
          <w:bCs/>
          <w:color w:val="8B5FA8"/>
        </w:rPr>
        <w:t>Executive Summary</w:t>
      </w:r>
    </w:p>
    <w:bookmarkEnd w:id="0"/>
    <w:p w14:paraId="610249C1">
      <w:pPr>
        <w:spacing w:after="160"/>
      </w:pPr>
      <w:r>
        <w:rPr>
          <w:color w:val="3D3D3D"/>
          <w:sz w:val="22"/>
          <w:szCs w:val="22"/>
        </w:rPr>
        <w:t>StreamFlix ended the review period with 15,000 subscribers, of whom 74.7% remain active and 25.3% have churned, generating $175,868.51 in Monthly Recurring Revenue at an average revenue per user of $15.70. Viewing engagement has grown sharply in recent months, with monthly watch hours more than doubling in the latest period. Drama and TV Shows continue to dominate the catalogue's viewing time, and viewer sentiment is strongly positive, with 68.2% of reviews rated positive against just 11.1% negative. However, growth in watch hours has not been matched by growth in new subscriber signups, and a meaningful share of saved watchlist titles are never watched. Content licensing spend also shows uneven returns across genres, and a sizeable batch of titles is due for renewal review in the near term. Overall, the platform is healthy and engaged, but retention, catalogue efficiency, and content investment all present clear areas for near-term action.</w:t>
      </w:r>
    </w:p>
    <w:p w14:paraId="1F32E7DC">
      <w:pPr>
        <w:pStyle w:val="2"/>
        <w:pBdr>
          <w:bottom w:val="single" w:color="8B5FA8" w:sz="6" w:space="4"/>
        </w:pBdr>
        <w:spacing w:before="320" w:after="160"/>
      </w:pPr>
      <w:r>
        <w:rPr>
          <w:b/>
          <w:bCs/>
          <w:color w:val="8B5FA8"/>
        </w:rPr>
        <w:t>Top 3 Findings</w:t>
      </w:r>
    </w:p>
    <w:p w14:paraId="411AE258">
      <w:pPr>
        <w:pStyle w:val="16"/>
        <w:numPr>
          <w:ilvl w:val="0"/>
          <w:numId w:val="1"/>
        </w:numPr>
        <w:spacing w:after="120"/>
      </w:pPr>
      <w:r>
        <w:rPr>
          <w:color w:val="3D3D3D"/>
          <w:sz w:val="22"/>
          <w:szCs w:val="22"/>
        </w:rPr>
        <w:t>Engagement is accelerating faster than subscriber growth. Monthly watch hours have more than doubled in the most recent month, yet new subscriber signups have stayed flat at roughly 200–230 per month — indicating the growth is coming from deeper engagement among existing subscribers, not from a wider audience.</w:t>
      </w:r>
    </w:p>
    <w:p w14:paraId="59022DE0">
      <w:pPr>
        <w:pStyle w:val="16"/>
        <w:numPr>
          <w:ilvl w:val="0"/>
          <w:numId w:val="1"/>
        </w:numPr>
        <w:spacing w:after="120"/>
      </w:pPr>
      <w:r>
        <w:rPr>
          <w:color w:val="3D3D3D"/>
          <w:sz w:val="22"/>
          <w:szCs w:val="22"/>
        </w:rPr>
        <w:t>Viewing is heavily concentrated. Drama leads all genres in watch hours (15.1% of the total), and a single title, Gilded Throne, drives more viewing than any other title by a wide margin — the platform's engagement leans on a small number of standout titles rather than a broad base.</w:t>
      </w:r>
    </w:p>
    <w:p w14:paraId="3578D208">
      <w:pPr>
        <w:pStyle w:val="16"/>
        <w:numPr>
          <w:ilvl w:val="0"/>
          <w:numId w:val="1"/>
        </w:numPr>
        <w:spacing w:after="120"/>
      </w:pPr>
      <w:r>
        <w:rPr>
          <w:color w:val="3D3D3D"/>
          <w:sz w:val="22"/>
          <w:szCs w:val="22"/>
        </w:rPr>
        <w:t>Content investment efficiency varies widely by genre. Animation returns the most watch hours per licensing dollar (0.207 hours per $1,000 spent), nearly 20% more efficient than Documentary — despite Documentary likely commanding a larger share of the content budget.</w:t>
      </w:r>
    </w:p>
    <w:p w14:paraId="7AB8C8B6">
      <w:pPr>
        <w:pStyle w:val="2"/>
        <w:pBdr>
          <w:bottom w:val="single" w:color="8B5FA8" w:sz="6" w:space="4"/>
        </w:pBdr>
        <w:spacing w:before="320" w:after="160"/>
      </w:pPr>
      <w:r>
        <w:rPr>
          <w:b/>
          <w:bCs/>
          <w:color w:val="8B5FA8"/>
        </w:rPr>
        <w:t>Risks Identified</w:t>
      </w:r>
    </w:p>
    <w:p w14:paraId="60E542CB">
      <w:pPr>
        <w:pStyle w:val="16"/>
        <w:numPr>
          <w:ilvl w:val="0"/>
          <w:numId w:val="1"/>
        </w:numPr>
        <w:spacing w:after="120"/>
      </w:pPr>
      <w:r>
        <w:rPr>
          <w:color w:val="3D3D3D"/>
          <w:sz w:val="22"/>
          <w:szCs w:val="22"/>
        </w:rPr>
        <w:t>Churn stands at 25.3% — one in four subscribers has left the platform, and this figure sits alongside flat new-subscriber growth, meaning the active subscriber base could shrink if this pattern continues unaddressed.</w:t>
      </w:r>
    </w:p>
    <w:p w14:paraId="6860147E">
      <w:pPr>
        <w:pStyle w:val="16"/>
        <w:numPr>
          <w:ilvl w:val="0"/>
          <w:numId w:val="1"/>
        </w:numPr>
        <w:spacing w:after="120"/>
      </w:pPr>
      <w:r>
        <w:rPr>
          <w:color w:val="3D3D3D"/>
          <w:sz w:val="22"/>
          <w:szCs w:val="22"/>
        </w:rPr>
        <w:t>Watchlist conversion is only 46.2% — under half of the titles subscribers actively save to watch later are ever actually watched, pointing to a gap between subscriber intent and either content discovery or recommendation quality.</w:t>
      </w:r>
    </w:p>
    <w:p w14:paraId="534D1886">
      <w:pPr>
        <w:pStyle w:val="16"/>
        <w:numPr>
          <w:ilvl w:val="0"/>
          <w:numId w:val="1"/>
        </w:numPr>
        <w:spacing w:after="120"/>
      </w:pPr>
      <w:r>
        <w:rPr>
          <w:color w:val="3D3D3D"/>
          <w:sz w:val="22"/>
          <w:szCs w:val="22"/>
        </w:rPr>
        <w:t>385 titles have licenses expiring within the next 90 days. Without a structured, performance-based review of this batch, StreamFlix risks either an unplanned content gap (letting a well-performing title lapse) or unnecessary spend (renewing a title with low engagement).</w:t>
      </w:r>
    </w:p>
    <w:p w14:paraId="63DAA6CE">
      <w:pPr>
        <w:pStyle w:val="2"/>
        <w:pBdr>
          <w:bottom w:val="single" w:color="8B5FA8" w:sz="6" w:space="4"/>
        </w:pBdr>
        <w:spacing w:before="320" w:after="160"/>
      </w:pPr>
      <w:r>
        <w:rPr>
          <w:b/>
          <w:bCs/>
          <w:color w:val="8B5FA8"/>
        </w:rPr>
        <w:t>Opportunities</w:t>
      </w:r>
    </w:p>
    <w:p w14:paraId="40442D0A">
      <w:pPr>
        <w:pStyle w:val="16"/>
        <w:numPr>
          <w:ilvl w:val="0"/>
          <w:numId w:val="1"/>
        </w:numPr>
        <w:spacing w:after="120"/>
      </w:pPr>
      <w:r>
        <w:rPr>
          <w:color w:val="3D3D3D"/>
          <w:sz w:val="22"/>
          <w:szCs w:val="22"/>
        </w:rPr>
        <w:t>Deepen engagement into growth: since existing subscribers are already watching significantly more, targeted upsell or loyalty offers to this active, engaged segment may convert more efficiently than broad acquisition marketing.</w:t>
      </w:r>
    </w:p>
    <w:p w14:paraId="63592C83">
      <w:pPr>
        <w:pStyle w:val="16"/>
        <w:numPr>
          <w:ilvl w:val="0"/>
          <w:numId w:val="1"/>
        </w:numPr>
        <w:spacing w:after="120"/>
      </w:pPr>
      <w:r>
        <w:rPr>
          <w:color w:val="3D3D3D"/>
          <w:sz w:val="22"/>
          <w:szCs w:val="22"/>
        </w:rPr>
        <w:t>Invest further in high-return genres: Animation and Kids &amp; Family both substantially outperform the catalogue average on watch hours per licensing dollar, suggesting a case for shifting incremental content budget toward these genres.</w:t>
      </w:r>
    </w:p>
    <w:p w14:paraId="76C9620E">
      <w:pPr>
        <w:pStyle w:val="16"/>
        <w:numPr>
          <w:ilvl w:val="0"/>
          <w:numId w:val="1"/>
        </w:numPr>
        <w:spacing w:after="120"/>
      </w:pPr>
      <w:r>
        <w:rPr>
          <w:color w:val="3D3D3D"/>
          <w:sz w:val="22"/>
          <w:szCs w:val="22"/>
        </w:rPr>
        <w:t>Improve watchlist-to-watch conversion: even a modest improvement from 46.2% toward, say, 55–60% would meaningfully increase watch hours from content subscribers have already expressed interest in — no new acquisition required.</w:t>
      </w:r>
    </w:p>
    <w:p w14:paraId="2ECD47B4">
      <w:pPr>
        <w:pStyle w:val="2"/>
        <w:pBdr>
          <w:bottom w:val="single" w:color="8B5FA8" w:sz="6" w:space="4"/>
        </w:pBdr>
        <w:spacing w:before="320" w:after="160"/>
      </w:pPr>
      <w:r>
        <w:rPr>
          <w:b/>
          <w:bCs/>
          <w:color w:val="8B5FA8"/>
        </w:rPr>
        <w:t>Recommendations</w:t>
      </w:r>
    </w:p>
    <w:p w14:paraId="465B435A">
      <w:pPr>
        <w:pStyle w:val="16"/>
        <w:numPr>
          <w:ilvl w:val="0"/>
          <w:numId w:val="1"/>
        </w:numPr>
        <w:spacing w:after="120"/>
      </w:pPr>
      <w:r>
        <w:rPr>
          <w:color w:val="3D3D3D"/>
          <w:sz w:val="22"/>
          <w:szCs w:val="22"/>
        </w:rPr>
        <w:t>Launch a churn-focused retention initiative targeting subscribers in their first 1–3 months of tenure, since this is typically where churn risk is highest, paired with a review of the Standard plan (StreamFlix's most popular tier) to ensure its value proposition matches subscriber expectations.</w:t>
      </w:r>
    </w:p>
    <w:p w14:paraId="7F59B3C6">
      <w:pPr>
        <w:pStyle w:val="16"/>
        <w:numPr>
          <w:ilvl w:val="0"/>
          <w:numId w:val="1"/>
        </w:numPr>
        <w:spacing w:after="120"/>
      </w:pPr>
      <w:r>
        <w:rPr>
          <w:color w:val="3D3D3D"/>
          <w:sz w:val="22"/>
          <w:szCs w:val="22"/>
        </w:rPr>
        <w:t>Prioritize the 385 titles with licenses expiring in the next 90 days for a performance review — rank each by watch hours and completion rate, and use that ranking to guide renew/let-lapse decisions rather than renewing by default.</w:t>
      </w:r>
    </w:p>
    <w:p w14:paraId="29726DFC">
      <w:pPr>
        <w:pStyle w:val="16"/>
        <w:numPr>
          <w:ilvl w:val="0"/>
          <w:numId w:val="1"/>
        </w:numPr>
        <w:spacing w:after="120"/>
      </w:pPr>
      <w:r>
        <w:rPr>
          <w:color w:val="3D3D3D"/>
          <w:sz w:val="22"/>
          <w:szCs w:val="22"/>
        </w:rPr>
        <w:t>Pilot a recommendation or notification feature aimed specifically at watchlist items, to close the 46.2% conversion gap and turn already-expressed subscriber interest into realized watch hours.</w:t>
      </w:r>
    </w:p>
    <w:p w14:paraId="1850B617">
      <w:pPr>
        <w:pStyle w:val="16"/>
        <w:numPr>
          <w:ilvl w:val="0"/>
          <w:numId w:val="1"/>
        </w:numPr>
        <w:spacing w:after="120"/>
      </w:pPr>
      <w:r>
        <w:rPr>
          <w:color w:val="3D3D3D"/>
          <w:sz w:val="22"/>
          <w:szCs w:val="22"/>
        </w:rPr>
        <w:t>Reallocate a portion of underperforming-genre licensing budget toward Animation and Kids &amp; Family, where the current data shows the strongest return on content investment.</w:t>
      </w:r>
    </w:p>
    <w:p w14:paraId="5F97F95F">
      <w:pPr>
        <w:pStyle w:val="2"/>
        <w:pBdr>
          <w:bottom w:val="single" w:color="8B5FA8" w:sz="6" w:space="4"/>
        </w:pBdr>
        <w:spacing w:before="320" w:after="160"/>
      </w:pPr>
      <w:r>
        <w:rPr>
          <w:b/>
          <w:bCs/>
          <w:color w:val="8B5FA8"/>
        </w:rPr>
        <w:t>Key Metrics at a Glance</w:t>
      </w:r>
    </w:p>
    <w:tbl>
      <w:tblPr>
        <w:tblStyle w:val="9"/>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2500"/>
      </w:tblGrid>
      <w:tr w14:paraId="3FC58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3EDF7"/>
            <w:tcMar>
              <w:top w:w="100" w:type="dxa"/>
              <w:left w:w="150" w:type="dxa"/>
              <w:bottom w:w="100" w:type="dxa"/>
              <w:right w:w="150" w:type="dxa"/>
            </w:tcMar>
          </w:tcPr>
          <w:p w14:paraId="2752217C">
            <w:r>
              <w:rPr>
                <w:color w:val="3D3D3D"/>
                <w:sz w:val="20"/>
                <w:szCs w:val="20"/>
              </w:rPr>
              <w:t>Total Subscribers</w:t>
            </w:r>
          </w:p>
        </w:tc>
        <w:tc>
          <w:tcPr>
            <w:tcW w:w="2500" w:type="dxa"/>
            <w:shd w:val="clear" w:color="auto" w:fill="FFFFFF"/>
            <w:tcMar>
              <w:top w:w="100" w:type="dxa"/>
              <w:left w:w="150" w:type="dxa"/>
              <w:bottom w:w="100" w:type="dxa"/>
              <w:right w:w="150" w:type="dxa"/>
            </w:tcMar>
          </w:tcPr>
          <w:p w14:paraId="00758ABC">
            <w:pPr>
              <w:jc w:val="right"/>
            </w:pPr>
            <w:r>
              <w:rPr>
                <w:b/>
                <w:bCs/>
                <w:color w:val="8B5FA8"/>
                <w:sz w:val="22"/>
                <w:szCs w:val="22"/>
              </w:rPr>
              <w:t>15,000</w:t>
            </w:r>
          </w:p>
        </w:tc>
      </w:tr>
      <w:tr w14:paraId="16D05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3EDF7"/>
            <w:tcMar>
              <w:top w:w="100" w:type="dxa"/>
              <w:left w:w="150" w:type="dxa"/>
              <w:bottom w:w="100" w:type="dxa"/>
              <w:right w:w="150" w:type="dxa"/>
            </w:tcMar>
          </w:tcPr>
          <w:p w14:paraId="5E813C0A">
            <w:r>
              <w:rPr>
                <w:color w:val="3D3D3D"/>
                <w:sz w:val="20"/>
                <w:szCs w:val="20"/>
              </w:rPr>
              <w:t>Active Rate / Churn Rate</w:t>
            </w:r>
          </w:p>
        </w:tc>
        <w:tc>
          <w:tcPr>
            <w:tcW w:w="2500" w:type="dxa"/>
            <w:shd w:val="clear" w:color="auto" w:fill="FFFFFF"/>
            <w:tcMar>
              <w:top w:w="100" w:type="dxa"/>
              <w:left w:w="150" w:type="dxa"/>
              <w:bottom w:w="100" w:type="dxa"/>
              <w:right w:w="150" w:type="dxa"/>
            </w:tcMar>
          </w:tcPr>
          <w:p w14:paraId="1E365334">
            <w:pPr>
              <w:jc w:val="right"/>
            </w:pPr>
            <w:r>
              <w:rPr>
                <w:b/>
                <w:bCs/>
                <w:color w:val="8B5FA8"/>
                <w:sz w:val="22"/>
                <w:szCs w:val="22"/>
              </w:rPr>
              <w:t>74.7% / 25.3%</w:t>
            </w:r>
          </w:p>
        </w:tc>
      </w:tr>
      <w:tr w14:paraId="5ED51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3EDF7"/>
            <w:tcMar>
              <w:top w:w="100" w:type="dxa"/>
              <w:left w:w="150" w:type="dxa"/>
              <w:bottom w:w="100" w:type="dxa"/>
              <w:right w:w="150" w:type="dxa"/>
            </w:tcMar>
          </w:tcPr>
          <w:p w14:paraId="5F994CF4">
            <w:r>
              <w:rPr>
                <w:color w:val="3D3D3D"/>
                <w:sz w:val="20"/>
                <w:szCs w:val="20"/>
              </w:rPr>
              <w:t>Monthly Recurring Revenue</w:t>
            </w:r>
          </w:p>
        </w:tc>
        <w:tc>
          <w:tcPr>
            <w:tcW w:w="2500" w:type="dxa"/>
            <w:shd w:val="clear" w:color="auto" w:fill="FFFFFF"/>
            <w:tcMar>
              <w:top w:w="100" w:type="dxa"/>
              <w:left w:w="150" w:type="dxa"/>
              <w:bottom w:w="100" w:type="dxa"/>
              <w:right w:w="150" w:type="dxa"/>
            </w:tcMar>
          </w:tcPr>
          <w:p w14:paraId="778F67FB">
            <w:pPr>
              <w:jc w:val="right"/>
            </w:pPr>
            <w:r>
              <w:rPr>
                <w:b/>
                <w:bCs/>
                <w:color w:val="8B5FA8"/>
                <w:sz w:val="22"/>
                <w:szCs w:val="22"/>
              </w:rPr>
              <w:t>$175,868.51</w:t>
            </w:r>
          </w:p>
        </w:tc>
      </w:tr>
      <w:tr w14:paraId="7A5DB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3EDF7"/>
            <w:tcMar>
              <w:top w:w="100" w:type="dxa"/>
              <w:left w:w="150" w:type="dxa"/>
              <w:bottom w:w="100" w:type="dxa"/>
              <w:right w:w="150" w:type="dxa"/>
            </w:tcMar>
          </w:tcPr>
          <w:p w14:paraId="572126E7">
            <w:r>
              <w:rPr>
                <w:color w:val="3D3D3D"/>
                <w:sz w:val="20"/>
                <w:szCs w:val="20"/>
              </w:rPr>
              <w:t>Average Revenue Per User</w:t>
            </w:r>
          </w:p>
        </w:tc>
        <w:tc>
          <w:tcPr>
            <w:tcW w:w="2500" w:type="dxa"/>
            <w:shd w:val="clear" w:color="auto" w:fill="FFFFFF"/>
            <w:tcMar>
              <w:top w:w="100" w:type="dxa"/>
              <w:left w:w="150" w:type="dxa"/>
              <w:bottom w:w="100" w:type="dxa"/>
              <w:right w:w="150" w:type="dxa"/>
            </w:tcMar>
          </w:tcPr>
          <w:p w14:paraId="4608E607">
            <w:pPr>
              <w:jc w:val="right"/>
            </w:pPr>
            <w:r>
              <w:rPr>
                <w:b/>
                <w:bCs/>
                <w:color w:val="8B5FA8"/>
                <w:sz w:val="22"/>
                <w:szCs w:val="22"/>
              </w:rPr>
              <w:t>$15.70</w:t>
            </w:r>
          </w:p>
        </w:tc>
      </w:tr>
      <w:tr w14:paraId="72294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3EDF7"/>
            <w:tcMar>
              <w:top w:w="100" w:type="dxa"/>
              <w:left w:w="150" w:type="dxa"/>
              <w:bottom w:w="100" w:type="dxa"/>
              <w:right w:w="150" w:type="dxa"/>
            </w:tcMar>
          </w:tcPr>
          <w:p w14:paraId="6A3EBDAF">
            <w:r>
              <w:rPr>
                <w:color w:val="3D3D3D"/>
                <w:sz w:val="20"/>
                <w:szCs w:val="20"/>
              </w:rPr>
              <w:t>Watchlist Conversion Rate</w:t>
            </w:r>
          </w:p>
        </w:tc>
        <w:tc>
          <w:tcPr>
            <w:tcW w:w="2500" w:type="dxa"/>
            <w:shd w:val="clear" w:color="auto" w:fill="FFFFFF"/>
            <w:tcMar>
              <w:top w:w="100" w:type="dxa"/>
              <w:left w:w="150" w:type="dxa"/>
              <w:bottom w:w="100" w:type="dxa"/>
              <w:right w:w="150" w:type="dxa"/>
            </w:tcMar>
          </w:tcPr>
          <w:p w14:paraId="1F416D0A">
            <w:pPr>
              <w:jc w:val="right"/>
            </w:pPr>
            <w:r>
              <w:rPr>
                <w:b/>
                <w:bCs/>
                <w:color w:val="8B5FA8"/>
                <w:sz w:val="22"/>
                <w:szCs w:val="22"/>
              </w:rPr>
              <w:t>46.2%</w:t>
            </w:r>
          </w:p>
        </w:tc>
      </w:tr>
      <w:tr w14:paraId="10B99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3EDF7"/>
            <w:tcMar>
              <w:top w:w="100" w:type="dxa"/>
              <w:left w:w="150" w:type="dxa"/>
              <w:bottom w:w="100" w:type="dxa"/>
              <w:right w:w="150" w:type="dxa"/>
            </w:tcMar>
          </w:tcPr>
          <w:p w14:paraId="166DC07A">
            <w:r>
              <w:rPr>
                <w:color w:val="3D3D3D"/>
                <w:sz w:val="20"/>
                <w:szCs w:val="20"/>
              </w:rPr>
              <w:t>Positive Review Sentiment</w:t>
            </w:r>
          </w:p>
        </w:tc>
        <w:tc>
          <w:tcPr>
            <w:tcW w:w="2500" w:type="dxa"/>
            <w:shd w:val="clear" w:color="auto" w:fill="FFFFFF"/>
            <w:tcMar>
              <w:top w:w="100" w:type="dxa"/>
              <w:left w:w="150" w:type="dxa"/>
              <w:bottom w:w="100" w:type="dxa"/>
              <w:right w:w="150" w:type="dxa"/>
            </w:tcMar>
          </w:tcPr>
          <w:p w14:paraId="4CECB05B">
            <w:pPr>
              <w:jc w:val="right"/>
            </w:pPr>
            <w:r>
              <w:rPr>
                <w:b/>
                <w:bCs/>
                <w:color w:val="8B5FA8"/>
                <w:sz w:val="22"/>
                <w:szCs w:val="22"/>
              </w:rPr>
              <w:t>68.2%</w:t>
            </w:r>
          </w:p>
        </w:tc>
      </w:tr>
      <w:tr w14:paraId="29B3A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3EDF7"/>
            <w:tcMar>
              <w:top w:w="100" w:type="dxa"/>
              <w:left w:w="150" w:type="dxa"/>
              <w:bottom w:w="100" w:type="dxa"/>
              <w:right w:w="150" w:type="dxa"/>
            </w:tcMar>
          </w:tcPr>
          <w:p w14:paraId="741F9CF0">
            <w:r>
              <w:rPr>
                <w:color w:val="3D3D3D"/>
                <w:sz w:val="20"/>
                <w:szCs w:val="20"/>
              </w:rPr>
              <w:t>Titles Expiring Within 90 Days</w:t>
            </w:r>
          </w:p>
        </w:tc>
        <w:tc>
          <w:tcPr>
            <w:tcW w:w="2500" w:type="dxa"/>
            <w:shd w:val="clear" w:color="auto" w:fill="FFFFFF"/>
            <w:tcMar>
              <w:top w:w="100" w:type="dxa"/>
              <w:left w:w="150" w:type="dxa"/>
              <w:bottom w:w="100" w:type="dxa"/>
              <w:right w:w="150" w:type="dxa"/>
            </w:tcMar>
          </w:tcPr>
          <w:p w14:paraId="56EF44AE">
            <w:pPr>
              <w:jc w:val="right"/>
            </w:pPr>
            <w:r>
              <w:rPr>
                <w:b/>
                <w:bCs/>
                <w:color w:val="8B5FA8"/>
                <w:sz w:val="22"/>
                <w:szCs w:val="22"/>
              </w:rPr>
              <w:t>385</w:t>
            </w:r>
          </w:p>
        </w:tc>
      </w:tr>
    </w:tbl>
    <w:p w14:paraId="56724C96"/>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documentProtection w:enforcement="0"/>
  <w:compat>
    <w:compatSetting w:name="compatibilityMode" w:uri="http://schemas.microsoft.com/office/word" w:val="15"/>
  </w:compat>
  <w:rsids>
    <w:rsidRoot w:val="00000000"/>
    <w:rsid w:val="22D128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676</Words>
  <Characters>3874</Characters>
  <TotalTime>0</TotalTime>
  <ScaleCrop>false</ScaleCrop>
  <LinksUpToDate>false</LinksUpToDate>
  <CharactersWithSpaces>4513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2026-09-14T10:56:00Z</dcterms:created>
  <dc:creator>Un-named</dc:creator>
  <cp:lastModifiedBy>Mayuri Maneguldhe</cp:lastModifiedBy>
  <dcterms:modified xsi:type="dcterms:W3CDTF">2026-09-14T11:00:12Z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eyJoZGlkIjoiNmRmNTk4ZGVhMGE1M2Q1NTczNTk4N2Y5Y2U0NjA0ODkiLCJ1c2VySWQiOiI1Njc1MDYyNDU1NjAifQ==</vt:lpwstr>
  </property>
  <property fmtid="{D5CDD505-2E9C-101B-9397-08002B2CF9AE}" pid="3" name="KSOProductBuildVer">
    <vt:lpwstr>1033-12.1.0.28485</vt:lpwstr>
  </property>
  <property fmtid="{D5CDD505-2E9C-101B-9397-08002B2CF9AE}" pid="4" name="ICV">
    <vt:lpwstr>C53401D804594264B931C23EBC1BE51A_12</vt:lpwstr>
  </property>
</Properties>
</file>