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/>
      </w:pPr>
      <w:bookmarkStart w:colFirst="0" w:colLast="0" w:name="_9e9iovkj9xvl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Phase 1: Data Acquisition &amp; Understanding - Summary of Findings using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uxp5aj9ylu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 of Phase 1: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We've successfully acquired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Telco-Churn.csv</w:t>
      </w:r>
      <w:r w:rsidDel="00000000" w:rsidR="00000000" w:rsidRPr="00000000">
        <w:rPr>
          <w:rtl w:val="0"/>
        </w:rPr>
        <w:t xml:space="preserve"> dataset into MySQL and performed initial exploratory queries. We've identified several key factors strongly correlated with churn: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Type:</w:t>
      </w:r>
      <w:r w:rsidDel="00000000" w:rsidR="00000000" w:rsidRPr="00000000">
        <w:rPr>
          <w:rtl w:val="0"/>
        </w:rPr>
        <w:t xml:space="preserve"> Month-to-month contracts are a major churn risk.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Internet Service:</w:t>
      </w:r>
      <w:r w:rsidDel="00000000" w:rsidR="00000000" w:rsidRPr="00000000">
        <w:rPr>
          <w:rtl w:val="0"/>
        </w:rPr>
        <w:t xml:space="preserve"> Fiber Optic users are highly prone to churning.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Demographics:</w:t>
      </w:r>
      <w:r w:rsidDel="00000000" w:rsidR="00000000" w:rsidRPr="00000000">
        <w:rPr>
          <w:rtl w:val="0"/>
        </w:rPr>
        <w:t xml:space="preserve"> Senior Citizens churn at a significantly higher rate.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Overall:</w:t>
      </w:r>
      <w:r w:rsidDel="00000000" w:rsidR="00000000" w:rsidRPr="00000000">
        <w:rPr>
          <w:rtl w:val="0"/>
        </w:rPr>
        <w:t xml:space="preserve"> The company faces a substantial churn rate of around 26.6%.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insights are extremely valuable and will guide our deeper analysis and feature engineering in the next phase.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1: Data Acquisition &amp; Understanding - Summary of Findings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report summarizes the findings derived from the initial data acquisition and understanding phase, based on the executed queries.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 Churn Distribution (Query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Customers (implied):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7032 customers (5163 non-churn, 1869 churn).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 Rate: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Churn: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5163 customers (73.42%)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1869 customers (26.58%)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Insight: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Approximately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one-quarter of the customer base (26.58%) has exhibited churn behavior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represents a substantial proportion and validates the organization's concerns regarding customer retention.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dataset exhibits an imbalanced class distribution, with 'No' (non-churn) representing the majority class, a common characteristic in churn prediction datasets.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imbalance will necessitate careful consideration during subsequent predictive modeling efforts.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 by Contract Type (Query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Month-to-month: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Non-Churn: 2220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Churn: 1655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 Rate: 42.7%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year: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Non-Churn: 1306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Churn: 166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 Rate: 11.27%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year: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Non-Churn: 1637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Churn: 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 Rate: 2.85%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Insight: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Month-to-month contracts demonstrate a significantly elevated churn rate (approximately 42.7%)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when compared to one-year (approximately 11.3%) and two-year (approximately 2.9%) contracts.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strongly indicates that customers on shorter-term contracts present a substantially higher risk of churn, which aligns with the intuitive understanding of lower commitment levels.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 by Internet Service Type (Query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Fiber optic: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Customers: 3096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Churned Customers: 1297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 Rate: 41.89%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Customers: 2416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Churned Customers: 459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 Rate: 19.00%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Internet 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Customers: 1520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Churned Customers: 113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 Rate: 7.43%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Insight: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Customers utilizing Fiber Optic internet service exhibit the highest churn rate (41.89%)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exceeding that of DSL customers by more than twofold.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observation suggests potential underlying issues with the fiber optic service, such as reliability, discrepancies between promised and actual speeds, or deficiencies in customer support pertaining to fiber optic services.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Conversely, customers without internet service demonstrate the lowest churn rate, which is logical given their reduced reliance on the telecommunications provider for a critical daily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 by Senior Citizen Status (Query 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Senior Citizen (1):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Customers: 1142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Churned Customers: 476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 Rate: 41.68%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Non-Senior Citizen (0):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Customers: 5890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Churned Customers: 1393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 Rate: 23.65%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Insight: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Senior citizens (41.68% churn rate) exhibit nearly double the churn rate of non-senior citizens (23.65% churn rate).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constitutes a significant demographic finding and may indicate specific service needs or challenges experienced by senior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Telco-Churn.csv dataset has been successfully acquired into MySQL, and preliminary exploratory queries have been executed.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key factors demonstrating a strong correlation with customer churn have been identified: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 Type: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Month-to-month contracts pose a significant churn risk.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 Service: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Users of Fiber Optic internet service are highly susceptible to churn.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Demographics: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Senior Citizens exhibit a statistically higher churn rate.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organization is experiencing a substantial overall churn rate of approximately 26.6%.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insights are highly valuable and will serve as foundational guidance for the in-depth analysis and feature engineering efforts in the forthcoming phase.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1. Synthesizing All Findings: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We've moved from raw data to actionable insights. Here's a consolidated view: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Overall Churn Problem:</w:t>
      </w:r>
      <w:r w:rsidDel="00000000" w:rsidR="00000000" w:rsidRPr="00000000">
        <w:rPr>
          <w:rtl w:val="0"/>
        </w:rPr>
        <w:t xml:space="preserve"> The company faces a substantial churn rate of </w:t>
      </w:r>
      <w:r w:rsidDel="00000000" w:rsidR="00000000" w:rsidRPr="00000000">
        <w:rPr>
          <w:b w:val="1"/>
          <w:rtl w:val="0"/>
        </w:rPr>
        <w:t xml:space="preserve">~26.6%</w:t>
      </w:r>
      <w:r w:rsidDel="00000000" w:rsidR="00000000" w:rsidRPr="00000000">
        <w:rPr>
          <w:rtl w:val="0"/>
        </w:rPr>
        <w:t xml:space="preserve">, with new customers being particularly vulnerable.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Churn Drivers (Risk Factors):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Short Tenure:</w:t>
      </w:r>
      <w:r w:rsidDel="00000000" w:rsidR="00000000" w:rsidRPr="00000000">
        <w:rPr>
          <w:rtl w:val="0"/>
        </w:rPr>
        <w:t xml:space="preserve"> New customers (tenure &lt; ~6 months) are highly likely to churn.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Month-to-Month Contracts:</w:t>
      </w:r>
      <w:r w:rsidDel="00000000" w:rsidR="00000000" w:rsidRPr="00000000">
        <w:rPr>
          <w:rtl w:val="0"/>
        </w:rPr>
        <w:t xml:space="preserve"> Customers not locked into longer contracts are at very high risk.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Fiber Optic Internet Service:</w:t>
      </w:r>
      <w:r w:rsidDel="00000000" w:rsidR="00000000" w:rsidRPr="00000000">
        <w:rPr>
          <w:rtl w:val="0"/>
        </w:rPr>
        <w:t xml:space="preserve"> Despite being a premium service, it's associated with significantly higher churn rates. This is a critical service delivery or expectation management issue.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Electronic Check Payment Method:</w:t>
      </w:r>
      <w:r w:rsidDel="00000000" w:rsidR="00000000" w:rsidRPr="00000000">
        <w:rPr>
          <w:rtl w:val="0"/>
        </w:rPr>
        <w:t xml:space="preserve"> Customers using this method show a higher propensity to churn.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Senior Citizens:</w:t>
      </w:r>
      <w:r w:rsidDel="00000000" w:rsidR="00000000" w:rsidRPr="00000000">
        <w:rPr>
          <w:rtl w:val="0"/>
        </w:rPr>
        <w:t xml:space="preserve"> A specific demographic with notably higher churn.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Lack of Value-Added Services:</w:t>
      </w:r>
      <w:r w:rsidDel="00000000" w:rsidR="00000000" w:rsidRPr="00000000">
        <w:rPr>
          <w:rtl w:val="0"/>
        </w:rPr>
        <w:t xml:space="preserve"> Customers without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OnlineSecurity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TechSupport</w:t>
      </w:r>
      <w:r w:rsidDel="00000000" w:rsidR="00000000" w:rsidRPr="00000000">
        <w:rPr>
          <w:rtl w:val="0"/>
        </w:rPr>
        <w:t xml:space="preserve"> are more prone to churn.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Paperless Billing:</w:t>
      </w:r>
      <w:r w:rsidDel="00000000" w:rsidR="00000000" w:rsidRPr="00000000">
        <w:rPr>
          <w:rtl w:val="0"/>
        </w:rPr>
        <w:t xml:space="preserve"> Counter-intuitively, customers on paperless billing churn more. This might correlate with tech-savvy but less loyal segments (e.g., fiber optic users).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Retention Factors (Lower Risk):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Longer tenure customers.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Customers with One-year or Two-year contracts.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Customers with partners and/or dependents.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Customers with Online Security, Online Backup, Device Protection, and Tech Support.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Customers with no internet service or DSL internet.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Customers paying by Bank Transfer, Credit Card, or Mailed Check.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c5lisur8s9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Formulating Actionable Recommendations: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Based on these insights, here are concrete, data-driven recommendations for the telecommunications company to reduce churn: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Targeted Onboarding &amp; Retention for New Customers: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Strategy:</w:t>
      </w:r>
      <w:r w:rsidDel="00000000" w:rsidR="00000000" w:rsidRPr="00000000">
        <w:rPr>
          <w:rtl w:val="0"/>
        </w:rPr>
        <w:t xml:space="preserve"> Implement proactive outreach programs for customers in their first 3-6 months, especially those on month-to-month contracts.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Offer dedicated support lines, personalized check-ins, or small loyalty incentives after 3 months to build initial satisfaction.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Metric to Track:</w:t>
      </w:r>
      <w:r w:rsidDel="00000000" w:rsidR="00000000" w:rsidRPr="00000000">
        <w:rPr>
          <w:rtl w:val="0"/>
        </w:rPr>
        <w:t xml:space="preserve"> Churn rate for customers in their first 6 months.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Promote Longer-Term Contracts:</w:t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Strategy:</w:t>
      </w:r>
      <w:r w:rsidDel="00000000" w:rsidR="00000000" w:rsidRPr="00000000">
        <w:rPr>
          <w:rtl w:val="0"/>
        </w:rPr>
        <w:t xml:space="preserve"> Incentivize customers to switch from month-to-month to one-year or two-year contracts.</w:t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Offer discounts, bundled services, or special perks for signing longer contracts, particularly as their initial month-to-month period nears its end.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Metric to Track:</w:t>
      </w:r>
      <w:r w:rsidDel="00000000" w:rsidR="00000000" w:rsidRPr="00000000">
        <w:rPr>
          <w:rtl w:val="0"/>
        </w:rPr>
        <w:t xml:space="preserve"> Percentage of customers on month-to-month contracts, conversion rate to longer contracts.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Address Fiber Optic Service Issues: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Strategy:</w:t>
      </w:r>
      <w:r w:rsidDel="00000000" w:rsidR="00000000" w:rsidRPr="00000000">
        <w:rPr>
          <w:rtl w:val="0"/>
        </w:rPr>
        <w:t xml:space="preserve"> Investigate the root causes of high churn among Fiber Optic users.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Conduct customer satisfaction surveys specific to fiber optic service, analyze service outages/complaints for fiber optic, and improve technical support or network reliability for this segment. Consider clearer expectation setting during sales.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Metric to Track:</w:t>
      </w:r>
      <w:r w:rsidDel="00000000" w:rsidR="00000000" w:rsidRPr="00000000">
        <w:rPr>
          <w:rtl w:val="0"/>
        </w:rPr>
        <w:t xml:space="preserve"> Churn rate of Fiber Optic customers, Fiber Optic customer satisfaction scores.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 Electronic Check Payment Experience: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Strategy:</w:t>
      </w:r>
      <w:r w:rsidDel="00000000" w:rsidR="00000000" w:rsidRPr="00000000">
        <w:rPr>
          <w:rtl w:val="0"/>
        </w:rPr>
        <w:t xml:space="preserve"> Understand why electronic check users churn more. It might be related to a specific user segment or issues with the payment process itself.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Explore alternative payment method promotions, offer incentives for switching to automatic bank transfer/credit card, or conduct user experience studies on the electronic check process.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Metric to Track:</w:t>
      </w:r>
      <w:r w:rsidDel="00000000" w:rsidR="00000000" w:rsidRPr="00000000">
        <w:rPr>
          <w:rtl w:val="0"/>
        </w:rPr>
        <w:t xml:space="preserve"> Churn rate by payment method, adoption rate of alternative payment methods.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Tailored Support for Senior Citizens:</w:t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Strategy:</w:t>
      </w:r>
      <w:r w:rsidDel="00000000" w:rsidR="00000000" w:rsidRPr="00000000">
        <w:rPr>
          <w:rtl w:val="0"/>
        </w:rPr>
        <w:t xml:space="preserve"> Develop specific programs or simplified communication channels for senior customers.</w:t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Offer easier-to-understand billing, dedicated customer support with longer patience, or discounts on senior-friendly devices/plans.</w:t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Metric to Track:</w:t>
      </w:r>
      <w:r w:rsidDel="00000000" w:rsidR="00000000" w:rsidRPr="00000000">
        <w:rPr>
          <w:rtl w:val="0"/>
        </w:rPr>
        <w:t xml:space="preserve"> Churn rate among senior citizens, senior citizen satisfaction scores.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Highlight Value-Added Services for Retention:</w:t>
      </w:r>
    </w:p>
    <w:p w:rsidR="00000000" w:rsidDel="00000000" w:rsidP="00000000" w:rsidRDefault="00000000" w:rsidRPr="00000000" w14:paraId="0000006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Strategy:</w:t>
      </w:r>
      <w:r w:rsidDel="00000000" w:rsidR="00000000" w:rsidRPr="00000000">
        <w:rPr>
          <w:rtl w:val="0"/>
        </w:rPr>
        <w:t xml:space="preserve"> Emphasize the benefits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OnlineSecurity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TechSupport</w:t>
      </w:r>
      <w:r w:rsidDel="00000000" w:rsidR="00000000" w:rsidRPr="00000000">
        <w:rPr>
          <w:rtl w:val="0"/>
        </w:rPr>
        <w:t xml:space="preserve"> as retention tools.</w:t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Promote these services (perhaps initially free for a trial period, or bundled) to new customers or at-risk segments, showcasing their ability to reduce churn.</w:t>
      </w:r>
    </w:p>
    <w:p w:rsidR="00000000" w:rsidDel="00000000" w:rsidP="00000000" w:rsidRDefault="00000000" w:rsidRPr="00000000" w14:paraId="0000006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Metric to Track:</w:t>
      </w:r>
      <w:r w:rsidDel="00000000" w:rsidR="00000000" w:rsidRPr="00000000">
        <w:rPr>
          <w:rtl w:val="0"/>
        </w:rPr>
        <w:t xml:space="preserve"> Adoption rates of security/support services, churn rate difference for users of these services.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Re-evaluate Paperless Billing Strategy:</w:t>
      </w:r>
    </w:p>
    <w:p w:rsidR="00000000" w:rsidDel="00000000" w:rsidP="00000000" w:rsidRDefault="00000000" w:rsidRPr="00000000" w14:paraId="0000006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Strategy:</w:t>
      </w:r>
      <w:r w:rsidDel="00000000" w:rsidR="00000000" w:rsidRPr="00000000">
        <w:rPr>
          <w:rtl w:val="0"/>
        </w:rPr>
        <w:t xml:space="preserve"> Investigate the higher churn among paperless billing users. It might indicate a segment that prioritizes convenience but not necessarily loyalty.</w:t>
      </w:r>
    </w:p>
    <w:p w:rsidR="00000000" w:rsidDel="00000000" w:rsidP="00000000" w:rsidRDefault="00000000" w:rsidRPr="00000000" w14:paraId="0000006C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Conduct user feedback on paperless billing, ensure transparency and ease of access to digital bills, and potentially pair paperless billing with loyalty programs.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