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F4E79"/>
          <w:sz w:val="44"/>
        </w:rPr>
        <w:t>Bank Nifty 09:20 Short Strangle Backtest</w:t>
      </w:r>
    </w:p>
    <w:p>
      <w:pPr>
        <w:spacing w:after="280"/>
      </w:pPr>
      <w:r>
        <w:rPr>
          <w:rFonts w:ascii="Calibri" w:hAnsi="Calibri"/>
          <w:color w:val="555555"/>
          <w:sz w:val="22"/>
        </w:rPr>
        <w:t>Quantitative Strategy Research Report | Hiring Assignment Submission</w:t>
      </w:r>
    </w:p>
    <w:p>
      <w:pPr>
        <w:pStyle w:val="Heading1"/>
        <w:spacing w:before="240" w:after="80"/>
      </w:pPr>
      <w:r>
        <w:rPr>
          <w:color w:val="1F4E79"/>
        </w:rPr>
        <w:t>1. Executive Summary &amp; Strategy Overview</w:t>
      </w:r>
    </w:p>
    <w:p>
      <w:r>
        <w:t>This report documents the research methodology, execution speed benchmarks, and performance analysis of the Bank Nifty 09:20 Short Strangle systematic strategy. The backtest processes the complete 1-minute OHLC options dataset (10,266,681 rows, 720 MB) and spot dataset for the 2023 cycle under strict lookahead-bias avoidance.</w:t>
      </w:r>
    </w:p>
    <w:p>
      <w:r>
        <w:t>Strategy Rules: Every day in Week 1 of each calendar month, at 09:20:59, the algorithm sells one CE and one PE whose 1-minute close price is closest to Rs 50. Positions are managed with a 50% hard stop-loss on bar High (fill price = Entry * 1.5) or closed at 15:20:59 close. Sizing is fixed at 1 lot (15 units) without compounding.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F4E79"/>
          </w:tcPr>
          <w:p>
            <w:r>
              <w:rPr>
                <w:b/>
                <w:color w:val="FFFFFF"/>
              </w:rPr>
              <w:t>Notes / Specification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Bank Nifty 09:20 Short Strangle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Sell 1 CE + 1 PE closest to Rs 50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Trade Universe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Week 1 of Each Calendar Month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30 trading days (Mon-Wed of Week 1)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Execution Time Window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09:20:59 Entry -&gt; 15:20:59 Exit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Intraday (no overnight carry)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Stop Loss Rule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50% Hard Stop on Bar High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Exit level = Entry * 1.5; checked 09:21-15:20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Position Sizing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1 Lot (15 units) Fixed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No compounding, unscaled capital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Base Starting Capital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Rs 1,00,0000.00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Rs 10 Lakhs base capital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Ending Capital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Rs 10,05,245.12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Rs 10.05 Lakhs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Total Net P&amp;L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+Rs 5,245.12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Net profitable across 60 trades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CAGR (%)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0.57%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Annualized NAV growth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Max Drawdown (%)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-0.19%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Trade-wise running peak-to-trough drop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Total Trades Executed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rPr>
                <w:b/>
              </w:rPr>
              <w:t>60 trades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2F2F2"/>
          </w:tcPr>
          <w:p>
            <w:r>
              <w:t>30 trading days x 2 legs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Win Rate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58.33%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35 Wins / 25 Losses</w:t>
            </w:r>
          </w:p>
        </w:tc>
      </w:tr>
    </w:tbl>
    <w:p/>
    <w:p>
      <w:pPr>
        <w:pStyle w:val="Heading1"/>
        <w:spacing w:before="280" w:after="80"/>
      </w:pPr>
      <w:r>
        <w:rPr>
          <w:color w:val="1F4E79"/>
        </w:rPr>
        <w:t>2. Step-by-Step Runtime Breakdown (&lt; 60s Target)</w:t>
      </w:r>
    </w:p>
    <w:p>
      <w:r>
        <w:t>The assignment requires the entire pipeline to run start-to-end in under 1 minute. The code executed in 52.41 seconds on the complete ~10.26M row dataset, beating the target with a 7.6-second margin.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E75B6"/>
          </w:tcPr>
          <w:p>
            <w:r>
              <w:rPr>
                <w:b/>
                <w:color w:val="FFFFFF"/>
              </w:rPr>
              <w:t>Stage #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E75B6"/>
          </w:tcPr>
          <w:p>
            <w:r>
              <w:rPr>
                <w:b/>
                <w:color w:val="FFFFFF"/>
              </w:rPr>
              <w:t>Pipeline Stage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E75B6"/>
          </w:tcPr>
          <w:p>
            <w:r>
              <w:rPr>
                <w:b/>
                <w:color w:val="FFFFFF"/>
              </w:rPr>
              <w:t>Time (s)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E75B6"/>
          </w:tcPr>
          <w:p>
            <w:r>
              <w:rPr>
                <w:b/>
                <w:color w:val="FFFFFF"/>
              </w:rPr>
              <w:t>% Total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2E75B6"/>
          </w:tcPr>
          <w:p>
            <w:r>
              <w:rPr>
                <w:b/>
                <w:color w:val="FFFFFF"/>
              </w:rPr>
              <w:t>Technical Operations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1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Data Loading &amp; Preprocessing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44.94s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85.7%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Parses 10.26M rows; float32 dtypes; string slice strike extraction (str[9:-2]); drops 14.5k duplicates.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Week-1 Day Selection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0.27s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0.5%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Calendar-month grouping to identify 1st Wednesday; filters universe to 30 Week-1 trading days.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3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Backtest Simulation Engine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4.52s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8.6%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Vectorized strike selection at 09:20; High-based 50% SL scan using boolean masks &amp; argmax.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4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Statistical Computations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0.06s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0.1%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CAGR, trade-wise peak-to-trough max drawdown, 9-segment win/loss &amp; avg % P&amp;L, monthly NAV.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5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Chart Rendering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1.54s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2.9%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9FBFD"/>
          </w:tcPr>
          <w:p>
            <w:r>
              <w:t>Headless Matplotlib rendering of high-res dark-themed Equity &amp; Drawdown curves.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6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Excel Workbook Export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1.09s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2.1%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Generates 3 styled worksheets (Guide, Statistics, Tradesheet) with embedded charts &amp; formulas.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EBF3FF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EBF3FF"/>
          </w:tcPr>
          <w:p>
            <w:r>
              <w:rPr>
                <w:b/>
              </w:rPr>
              <w:t>Full Pipeline Execution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EBF3FF"/>
          </w:tcPr>
          <w:p>
            <w:r>
              <w:rPr>
                <w:b/>
              </w:rPr>
              <w:t>52.41s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EBF3FF"/>
          </w:tcPr>
          <w:p>
            <w:r>
              <w:rPr>
                <w:b/>
              </w:rPr>
              <w:t>100.0%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EBF3FF"/>
          </w:tcPr>
          <w:p>
            <w:r>
              <w:rPr>
                <w:b/>
              </w:rPr>
              <w:t>Target: &lt; 60.0s (PASSED with a 7.6s margin).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4E79"/>
        </w:rPr>
        <w:t>3. Visual Performance Curves</w:t>
      </w:r>
    </w:p>
    <w:p>
      <w:r>
        <w:t>The equity curve is computed trade-wise (base NAV = 100), updating immediately upon realization of each individual leg. The drawdown curve tracks peak-to-trough drop across the full 60 trades.</w:t>
      </w:r>
    </w:p>
    <w:p>
      <w:r>
        <w:drawing>
          <wp:inline xmlns:a="http://schemas.openxmlformats.org/drawingml/2006/main" xmlns:pic="http://schemas.openxmlformats.org/drawingml/2006/picture">
            <wp:extent cx="5943600" cy="2519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9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1664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spacing w:before="240" w:after="80"/>
      </w:pPr>
      <w:r>
        <w:rPr>
          <w:color w:val="1F4E79"/>
        </w:rPr>
        <w:t>4. Win/Loss and Segment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375623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375623"/>
          </w:tcPr>
          <w:p>
            <w:r>
              <w:rPr>
                <w:b/>
                <w:color w:val="FFFFFF"/>
              </w:rPr>
              <w:t>Total Trades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375623"/>
          </w:tcPr>
          <w:p>
            <w:r>
              <w:rPr>
                <w:b/>
                <w:color w:val="FFFFFF"/>
              </w:rPr>
              <w:t>Wins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375623"/>
          </w:tcPr>
          <w:p>
            <w:r>
              <w:rPr>
                <w:b/>
                <w:color w:val="FFFFFF"/>
              </w:rPr>
              <w:t>Losses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375623"/>
          </w:tcPr>
          <w:p>
            <w:r>
              <w:rPr>
                <w:b/>
                <w:color w:val="FFFFFF"/>
              </w:rPr>
              <w:t>Win %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375623"/>
          </w:tcPr>
          <w:p>
            <w:r>
              <w:rPr>
                <w:b/>
                <w:color w:val="FFFFFF"/>
              </w:rPr>
              <w:t>Loss %</w:t>
            </w:r>
          </w:p>
        </w:tc>
      </w:tr>
      <w:tr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Call Options (CE)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30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18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12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60.00%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40.00%</w:t>
            </w:r>
          </w:p>
        </w:tc>
      </w:tr>
      <w:tr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Put Options (PE)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30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17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13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56.67%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43.33%</w:t>
            </w:r>
          </w:p>
        </w:tc>
      </w:tr>
      <w:tr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EBF6EB"/>
          </w:tcPr>
          <w:p>
            <w:r>
              <w:rPr>
                <w:b/>
              </w:rPr>
              <w:t>Combined Strategy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EBF6EB"/>
          </w:tcPr>
          <w:p>
            <w:r>
              <w:rPr>
                <w:b/>
              </w:rPr>
              <w:t>60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EBF6EB"/>
          </w:tcPr>
          <w:p>
            <w:r>
              <w:rPr>
                <w:b/>
              </w:rPr>
              <w:t>35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EBF6EB"/>
          </w:tcPr>
          <w:p>
            <w:r>
              <w:rPr>
                <w:b/>
              </w:rPr>
              <w:t>25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EBF6EB"/>
          </w:tcPr>
          <w:p>
            <w:r>
              <w:rPr>
                <w:b/>
              </w:rPr>
              <w:t>58.33%</w:t>
            </w:r>
          </w:p>
        </w:tc>
        <w:tc>
          <w:tcPr>
            <w:tcW w:type="dxa" w:w="1680"/>
            <w:tcMar>
              <w:top w:w="70" w:type="dxa"/>
              <w:bottom w:w="70" w:type="dxa"/>
              <w:left w:w="100" w:type="dxa"/>
              <w:right w:w="100" w:type="dxa"/>
            </w:tcMar>
            <w:shd w:fill="EBF6EB"/>
          </w:tcPr>
          <w:p>
            <w:r>
              <w:rPr>
                <w:b/>
              </w:rPr>
              <w:t>41.67%</w:t>
            </w:r>
          </w:p>
        </w:tc>
      </w:tr>
    </w:tbl>
    <w:p/>
    <w:p>
      <w:pPr>
        <w:pStyle w:val="Heading1"/>
        <w:spacing w:before="240" w:after="80"/>
      </w:pPr>
      <w:r>
        <w:rPr>
          <w:color w:val="1F4E79"/>
        </w:rPr>
        <w:t>5. Monthly Performance Table (NAV-Indexed)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9E3B00"/>
          </w:tcPr>
          <w:p>
            <w:r>
              <w:rPr>
                <w:b/>
                <w:color w:val="FFFFFF"/>
              </w:rPr>
              <w:t>Month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9E3B00"/>
          </w:tcPr>
          <w:p>
            <w:r>
              <w:rPr>
                <w:b/>
                <w:color w:val="FFFFFF"/>
              </w:rPr>
              <w:t>Start NAV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9E3B00"/>
          </w:tcPr>
          <w:p>
            <w:r>
              <w:rPr>
                <w:b/>
                <w:color w:val="FFFFFF"/>
              </w:rPr>
              <w:t>End NAV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9E3B00"/>
          </w:tcPr>
          <w:p>
            <w:r>
              <w:rPr>
                <w:b/>
                <w:color w:val="FFFFFF"/>
              </w:rPr>
              <w:t>Monthly % P&amp;L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9E3B0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2023-01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100.0000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100.0491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+0.0491%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2023-02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100.0491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99.9740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-0.0751%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Loss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2023-03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99.9740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99.9906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+0.0166%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2023-04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99.9906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100.0851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+0.0945%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2023-05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100.0851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100.1351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+0.0499%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2023-06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100.1351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100.2786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+0.1434%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2023-07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100.2786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100.1814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-0.0970%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Loss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2023-08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100.1814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100.1992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+0.0177%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2023-09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100.1992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100.2377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+0.0384%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2023-10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100.2377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100.4596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+0.2214%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2023-11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100.4596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100.4848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+0.0251%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  <w:shd w:fill="FDF8F5"/>
          </w:tcPr>
          <w:p>
            <w:r>
              <w:t>Profit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2023-12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100.4848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100.5245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+0.0395%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Profit</w:t>
            </w:r>
          </w:p>
        </w:tc>
      </w:tr>
    </w:tbl>
    <w:p>
      <w:r>
        <w:br w:type="page"/>
      </w:r>
    </w:p>
    <w:p>
      <w:pPr>
        <w:pStyle w:val="Heading1"/>
        <w:spacing w:before="240" w:after="80"/>
      </w:pPr>
      <w:r>
        <w:rPr>
          <w:color w:val="1F4E79"/>
        </w:rPr>
        <w:t>6. Methodological Assumptions &amp; Research Design</w:t>
      </w:r>
    </w:p>
    <w:p>
      <w:r>
        <w:rPr>
          <w:b/>
          <w:color w:val="375623"/>
        </w:rPr>
        <w:t xml:space="preserve">Assumption #1: Week-1 Definition: </w:t>
      </w:r>
      <w:r>
        <w:t>Week 1 is defined as the trading days from the 1st of each calendar month up to and including the month's first Wednesday (expiry day). Thursdays onward (weeks 2-4) are excluded. This avoids the circular weekly no-op trap and restricts trading to ~1/4 of trading days.</w:t>
      </w:r>
    </w:p>
    <w:p>
      <w:r>
        <w:rPr>
          <w:b/>
          <w:color w:val="375623"/>
        </w:rPr>
        <w:t xml:space="preserve">Assumption #2: Strike Tie-Break: </w:t>
      </w:r>
      <w:r>
        <w:t>If two option strikes are exactly equidistant from Rs 50, the strike with the lower premium (cheaper, further OTM) is selected. This is the more conservative risk choice for short positions.</w:t>
      </w:r>
    </w:p>
    <w:p>
      <w:r>
        <w:rPr>
          <w:b/>
          <w:color w:val="375623"/>
        </w:rPr>
        <w:t xml:space="preserve">Assumption #3: Stop-Loss Exit Fill: </w:t>
      </w:r>
      <w:r>
        <w:t>When a 1-minute bar's High &gt;= Stop Level (Entry * 1.5), the exit price is filled exactly at the Stop Level (the trigger price), reflecting an automated stop-market order fill rather than the bar close.</w:t>
      </w:r>
    </w:p>
    <w:p>
      <w:r>
        <w:rPr>
          <w:b/>
          <w:color w:val="375623"/>
        </w:rPr>
        <w:t xml:space="preserve">Assumption #4: Capital Base &amp; Position Sizing: </w:t>
      </w:r>
      <w:r>
        <w:t>Rs 10,00,000 base starting capital. Sizing is strictly fixed at 1 lot (15 units) without compounding or scaling. Available capital at any row = Starting Capital + Cumulative Realized P&amp;L.</w:t>
      </w:r>
    </w:p>
    <w:p>
      <w:r>
        <w:rPr>
          <w:b/>
          <w:color w:val="375623"/>
        </w:rPr>
        <w:t xml:space="preserve">Assumption #5: 09:20 Bar Timestamp: </w:t>
      </w:r>
      <w:r>
        <w:t>The options dataset timestamps denote bar completion at :59. The 09:20 entry corresponds to Time == '09:20:59'. Entry price is the close of this bar.</w:t>
      </w:r>
    </w:p>
    <w:p>
      <w:r>
        <w:rPr>
          <w:b/>
          <w:color w:val="375623"/>
        </w:rPr>
        <w:t xml:space="preserve">Assumption #6: Stop-Loss Monitoring Window: </w:t>
      </w:r>
      <w:r>
        <w:t>Monitoring begins at 09:21:59 (the bar after entry) up to 15:20:59. The entry bar itself is excluded to eliminate lookahead bias.</w:t>
      </w:r>
    </w:p>
    <w:p>
      <w:r>
        <w:rPr>
          <w:b/>
          <w:color w:val="375623"/>
        </w:rPr>
        <w:t xml:space="preserve">Assumption #7: Underlying Spot Price Logging: </w:t>
      </w:r>
      <w:r>
        <w:t>Spot close price is recorded at entry (09:20:00). When real spot data is present (Nov/Dec 2023), it is read directly; for dates prior to 2023-10-20, synthetic underlying spot is derived via options Put-Call Parity forward (ATM Strike + CE - PE).</w:t>
      </w:r>
    </w:p>
    <w:p>
      <w:pPr>
        <w:pStyle w:val="Heading1"/>
        <w:spacing w:before="240" w:after="80"/>
      </w:pPr>
      <w:r>
        <w:rPr>
          <w:color w:val="1F4E79"/>
        </w:rPr>
        <w:t>7. Submission Deliverables &amp; Excel Layout</w:t>
      </w:r>
    </w:p>
    <w:p>
      <w:r>
        <w:t>The Excel workbook BankNifty_ShortStrangle_Backtest.xlsx is structured into three sheets:</w:t>
      </w:r>
    </w:p>
    <w:p>
      <w:r>
        <w:t>• Sheet 1: Guide -- Complete documentation, timing benchmarks, output guide, and assumptions.</w:t>
      </w:r>
    </w:p>
    <w:p>
      <w:r>
        <w:t>• Sheet 2: Statistics -- High-level performance metrics, segment win/loss, monthly NAV returns, and embedded charts.</w:t>
      </w:r>
    </w:p>
    <w:p>
      <w:r>
        <w:t>• Sheet 3: Tradesheet -- Granular 60-trade log with all 12 requested fields and spot prices at entry.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