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56"/>
          <w:szCs w:val="56"/>
        </w:rPr>
        <w:t xml:space="preserve">The HLD Answer Template</w:t>
      </w:r>
    </w:p>
    <w:p>
      <w:pPr>
        <w:spacing w:after="240" w:before="60"/>
        <w:jc w:val="center"/>
      </w:pPr>
      <w:r>
        <w:rPr>
          <w:b/>
          <w:bCs/>
          <w:color w:val="1F3864"/>
          <w:sz w:val="32"/>
          <w:szCs w:val="32"/>
        </w:rPr>
        <w:t xml:space="preserve">A Repeatable Structure for Any "Design XYZ" Interview</w:t>
      </w:r>
    </w:p>
    <w:p>
      <w:pPr>
        <w:spacing w:after="600" w:before="120"/>
        <w:jc w:val="center"/>
      </w:pPr>
      <w:r>
        <w:rPr>
          <w:i/>
          <w:iCs/>
          <w:color w:val="595959"/>
          <w:sz w:val="22"/>
          <w:szCs w:val="22"/>
        </w:rPr>
        <w:t xml:space="preserve">Six Phases, Exact Scripts, Company Calibration, and the Recovery Moves When It Goes Sideways</w:t>
      </w:r>
    </w:p>
    <w:p>
      <w:pPr>
        <w:spacing w:after="60" w:before="600"/>
        <w:jc w:val="center"/>
      </w:pPr>
      <w:r>
        <w:rPr>
          <w:color w:val="595959"/>
          <w:sz w:val="22"/>
          <w:szCs w:val="22"/>
        </w:rPr>
        <w:t xml:space="preserve">Companion Reference · Use Before Every Mock and Every Real Round</w:t>
      </w:r>
    </w:p>
    <w:p>
      <w:r>
        <w:br w:type="page"/>
      </w:r>
    </w:p>
    <w:p>
      <w:pPr>
        <w:pStyle w:val="Heading1"/>
        <w:spacing w:after="180" w:before="360"/>
      </w:pPr>
      <w:r>
        <w:t xml:space="preserve">Why You Need a Template At All</w:t>
      </w:r>
    </w:p>
    <w:p>
      <w:pPr>
        <w:spacing w:after="60" w:before="60"/>
      </w:pPr>
      <w:r>
        <w:t xml:space="preserve">The interviewer is not evaluating whether you have memorized a particular system. They are evaluating whether you have a repeatable process for attacking an ambiguous problem under time pressure. A candidate with a structure looks like an engineer who has led designs. A candidate without one looks like someone recalling a blog post.</w:t>
      </w:r>
    </w:p>
    <w:p>
      <w:pPr>
        <w:spacing w:after="60" w:before="60"/>
      </w:pPr>
      <w:r>
        <w:t xml:space="preserve">This matters most when the prompt is unfamiliar. You cannot prepare for every possible "Design XYZ." What you can do is make the shape of your answer identical every time, so that an unfamiliar problem changes the content but never the process. That is the entire purpose of this document.</w:t>
      </w:r>
    </w:p>
    <w:p>
      <w:pPr>
        <w:spacing w:after="60" w:before="60"/>
      </w:pPr>
      <w:r>
        <w:t xml:space="preserve">The template below is calibrated for a 45-minute round, which is the standard at Google, Stripe, Meta, Amazon, and most PBC AI labs. Adjust the clock proportionally for a 60-minute round by expanding the deep dive, never the high-level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The single most important allocation rule</w:t>
            </w:r>
          </w:p>
          <w:p>
            <w:pPr>
              <w:spacing w:before="60"/>
            </w:pPr>
            <w:r>
              <w:rPr>
                <w:sz w:val="20"/>
                <w:szCs w:val="20"/>
              </w:rPr>
              <w:t xml:space="preserve">The deep dive is where hire/no-hire is decided. Everything before it exists to earn you the right to get there with time remaining. The most common failure mode among strong candidates is spending twenty-five minutes on the high-level architecture and arriving at the deep dive with four minutes left. Protect the deep dive ruthlessly.</w:t>
            </w:r>
          </w:p>
        </w:tc>
      </w:tr>
    </w:tbl>
    <w:p>
      <w:pPr>
        <w:pStyle w:val="Heading2"/>
        <w:spacing w:after="120" w:before="240"/>
      </w:pPr>
      <w:r>
        <w:t xml:space="preserve">The Six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Time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you are proving</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1. Scope &amp; Clarify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do not build before you understand. You can turn an ambiguous prompt into a bounded problem.</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2. Estimate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are numerate, and your numbers actually drive your architecture.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 API &amp; Data Model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think in contracts and you choose partition keys deliberately.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4. High-Level Design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10–12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can compose components into a coherent system and trace a request through it.</w:t>
            </w:r>
          </w:p>
        </w:tc>
      </w:tr>
      <w:tr>
        <w:tc>
          <w:tcPr>
            <w:tcW w:type="dxa" w:w="26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5. Deep Dive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have genuine depth somewhere. THIS DECIDES THE OFFER.</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6. Failure Modes &amp; Wrap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have operated systems in production, not just designed them on paper.</w:t>
            </w:r>
          </w:p>
        </w:tc>
      </w:tr>
    </w:tbl>
    <w:p>
      <w:r>
        <w:br w:type="page"/>
      </w:r>
    </w:p>
    <w:p>
      <w:pPr>
        <w:pStyle w:val="Heading1"/>
        <w:spacing w:after="180" w:before="360"/>
      </w:pPr>
      <w:r>
        <w:t xml:space="preserve">Phase 1 — Scope &amp; Clarify (5 minutes)</w:t>
      </w:r>
    </w:p>
    <w:p>
      <w:pPr>
        <w:spacing w:after="60" w:before="60"/>
      </w:pPr>
      <w:r>
        <w:t xml:space="preserve">The prompt is deliberately underspecified. Your job is to bound it, out loud, and get explicit agreement before you draw anything.</w:t>
      </w:r>
    </w:p>
    <w:p>
      <w:pPr>
        <w:pStyle w:val="Heading2"/>
        <w:spacing w:after="120" w:before="240"/>
      </w:pPr>
      <w:r>
        <w:t xml:space="preserve">The Four Question Categories</w:t>
      </w:r>
    </w:p>
    <w:p>
      <w:pPr>
        <w:pStyle w:val="Heading3"/>
        <w:spacing w:after="80" w:before="180"/>
      </w:pPr>
      <w:r>
        <w:t xml:space="preserve">Functional scope — what are we actually building?</w:t>
      </w:r>
    </w:p>
    <w:p>
      <w:pPr>
        <w:pStyle w:val="ListParagraph"/>
        <w:numPr>
          <w:ilvl w:val="0"/>
          <w:numId w:val="2"/>
        </w:numPr>
        <w:spacing w:after="40" w:before="40"/>
      </w:pPr>
      <w:r>
        <w:t xml:space="preserve">Which surfaces are in scope? For a chat system: one-to-one, group, or both? Media attachments?</w:t>
      </w:r>
    </w:p>
    <w:p>
      <w:pPr>
        <w:pStyle w:val="ListParagraph"/>
        <w:numPr>
          <w:ilvl w:val="0"/>
          <w:numId w:val="2"/>
        </w:numPr>
        <w:spacing w:after="40" w:before="40"/>
      </w:pPr>
      <w:r>
        <w:t xml:space="preserve">Are we designing the write path, the read path, or both?</w:t>
      </w:r>
    </w:p>
    <w:p>
      <w:pPr>
        <w:pStyle w:val="ListParagraph"/>
        <w:numPr>
          <w:ilvl w:val="0"/>
          <w:numId w:val="2"/>
        </w:numPr>
        <w:spacing w:after="40" w:before="40"/>
      </w:pPr>
      <w:r>
        <w:t xml:space="preserve">Who are the users — end consumers, internal services, external partners?</w:t>
      </w:r>
    </w:p>
    <w:p>
      <w:pPr>
        <w:pStyle w:val="Heading3"/>
        <w:spacing w:after="80" w:before="180"/>
      </w:pPr>
      <w:r>
        <w:t xml:space="preserve">Scale — what numbers should drive this?</w:t>
      </w:r>
    </w:p>
    <w:p>
      <w:pPr>
        <w:pStyle w:val="ListParagraph"/>
        <w:numPr>
          <w:ilvl w:val="0"/>
          <w:numId w:val="2"/>
        </w:numPr>
        <w:spacing w:after="40" w:before="40"/>
      </w:pPr>
      <w:r>
        <w:t xml:space="preserve">Rough daily active users, and expected growth horizon.</w:t>
      </w:r>
    </w:p>
    <w:p>
      <w:pPr>
        <w:pStyle w:val="ListParagraph"/>
        <w:numPr>
          <w:ilvl w:val="0"/>
          <w:numId w:val="2"/>
        </w:numPr>
        <w:spacing w:after="40" w:before="40"/>
      </w:pPr>
      <w:r>
        <w:t xml:space="preserve">Read to write ratio. This single number determines whether caching or write throughput dominates the design.</w:t>
      </w:r>
    </w:p>
    <w:p>
      <w:pPr>
        <w:pStyle w:val="ListParagraph"/>
        <w:numPr>
          <w:ilvl w:val="0"/>
          <w:numId w:val="2"/>
        </w:numPr>
        <w:spacing w:after="40" w:before="40"/>
      </w:pPr>
      <w:r>
        <w:t xml:space="preserve">Data size per item, and retention period.</w:t>
      </w:r>
    </w:p>
    <w:p>
      <w:pPr>
        <w:pStyle w:val="Heading3"/>
        <w:spacing w:after="80" w:before="180"/>
      </w:pPr>
      <w:r>
        <w:t xml:space="preserve">Non-functional constraints — what is the binding constraint?</w:t>
      </w:r>
    </w:p>
    <w:p>
      <w:pPr>
        <w:pStyle w:val="ListParagraph"/>
        <w:numPr>
          <w:ilvl w:val="0"/>
          <w:numId w:val="2"/>
        </w:numPr>
        <w:spacing w:after="40" w:before="40"/>
      </w:pPr>
      <w:r>
        <w:t xml:space="preserve">Latency target, and for which operation. "Fast" is not a requirement; "p99 under 200ms for the feed read" is.</w:t>
      </w:r>
    </w:p>
    <w:p>
      <w:pPr>
        <w:pStyle w:val="ListParagraph"/>
        <w:numPr>
          <w:ilvl w:val="0"/>
          <w:numId w:val="2"/>
        </w:numPr>
        <w:spacing w:after="40" w:before="40"/>
      </w:pPr>
      <w:r>
        <w:t xml:space="preserve">Consistency requirement. Is stale data acceptable, and for how long?</w:t>
      </w:r>
    </w:p>
    <w:p>
      <w:pPr>
        <w:pStyle w:val="ListParagraph"/>
        <w:numPr>
          <w:ilvl w:val="0"/>
          <w:numId w:val="2"/>
        </w:numPr>
        <w:spacing w:after="40" w:before="40"/>
      </w:pPr>
      <w:r>
        <w:t xml:space="preserve">Availability target, and whether there is a multi-region or data-residency requirement.</w:t>
      </w:r>
    </w:p>
    <w:p>
      <w:pPr>
        <w:pStyle w:val="Heading3"/>
        <w:spacing w:after="80" w:before="180"/>
      </w:pPr>
      <w:r>
        <w:t xml:space="preserve">Explicit non-goals — what are we deliberately not doing?</w:t>
      </w:r>
    </w:p>
    <w:p>
      <w:pPr>
        <w:pStyle w:val="ListParagraph"/>
        <w:numPr>
          <w:ilvl w:val="0"/>
          <w:numId w:val="2"/>
        </w:numPr>
        <w:spacing w:after="40" w:before="40"/>
      </w:pPr>
      <w:r>
        <w:t xml:space="preserve">Naming things you are excluding is as valuable as naming what you include. It shows you are managing scope, not forgetting it.</w:t>
      </w:r>
    </w:p>
    <w:p>
      <w:pPr>
        <w:pStyle w:val="ListParagraph"/>
        <w:numPr>
          <w:ilvl w:val="0"/>
          <w:numId w:val="2"/>
        </w:numPr>
        <w:spacing w:after="40" w:before="40"/>
      </w:pPr>
      <w:r>
        <w:t xml:space="preserve">Typical exclusions: authentication internals, the mobile client, the ML model itself, billing.</w:t>
      </w:r>
    </w:p>
    <w:p>
      <w:pPr>
        <w:pStyle w:val="Heading2"/>
        <w:spacing w:after="120" w:before="240"/>
      </w:pPr>
      <w:r>
        <w:t xml:space="preserve">The Closing Move — State It Back</w:t>
      </w:r>
    </w:p>
    <w:p>
      <w:pPr>
        <w:spacing w:after="60" w:before="60"/>
      </w:pPr>
      <w:r>
        <w:t xml:space="preserve">Do not skip this. Restating the scope and getting a nod is what converts your questions into an agreed contract, and it protects you later when you deliberately do not cover something.</w:t>
      </w:r>
    </w:p>
    <w:p>
      <w:pPr>
        <w:pBdr>
          <w:left w:val="single" w:color="1F3864" w:sz="18" w:space="8"/>
        </w:pBdr>
        <w:shd w:fill="F2F2F2" w:val="clear"/>
        <w:spacing w:after="80" w:before="80"/>
        <w:ind w:left="240"/>
      </w:pPr>
      <w:r>
        <w:rPr>
          <w:i/>
          <w:iCs/>
          <w:sz w:val="20"/>
          <w:szCs w:val="20"/>
        </w:rPr>
        <w:t xml:space="preserve">"So to confirm: roughly 100 million daily active users, read-heavy at about 100 to 1, p99 under 200 milliseconds on the read path, and eventual consistency is acceptable everywhere except the payment flow. I will design the ingestion and serving paths in detail and treat the recommendation model itself as a black box that I call. Does that match what you have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What a weak Phase 1 looks like</w:t>
            </w:r>
          </w:p>
          <w:p>
            <w:pPr>
              <w:spacing w:before="60"/>
            </w:pPr>
            <w:r>
              <w:rPr>
                <w:sz w:val="20"/>
                <w:szCs w:val="20"/>
              </w:rPr>
              <w:t xml:space="preserve">Asking three generic questions from a memorized list, receiving the answers, and then never referring to them again. The tell is when a candidate asks for the read-write ratio and then designs a system where that number changes nothing. Every number you ask for should visibly shape a later decision — otherwise you are performing curiosity rather than exercising it.</w:t>
            </w:r>
          </w:p>
        </w:tc>
      </w:tr>
    </w:tbl>
    <w:p>
      <w:r>
        <w:br w:type="page"/>
      </w:r>
    </w:p>
    <w:p>
      <w:pPr>
        <w:pStyle w:val="Heading1"/>
        <w:spacing w:after="180" w:before="360"/>
      </w:pPr>
      <w:r>
        <w:t xml:space="preserve">Phase 2 — Estimate (5 minutes)</w:t>
      </w:r>
    </w:p>
    <w:p>
      <w:pPr>
        <w:spacing w:after="60" w:before="60"/>
      </w:pPr>
      <w:r>
        <w:t xml:space="preserve">The purpose of estimation is not arithmetic. It is to establish the numbers that justify your architectural choices, so that when you shard, cache, or add a queue, the reason is on the board rather than in your head.</w:t>
      </w:r>
    </w:p>
    <w:p>
      <w:pPr>
        <w:pStyle w:val="Heading2"/>
        <w:spacing w:after="120" w:before="240"/>
      </w:pPr>
      <w:r>
        <w:t xml:space="preserve">The Fixed Sequence</w:t>
      </w:r>
    </w:p>
    <w:p>
      <w:pPr>
        <w:pStyle w:val="ListParagraph"/>
        <w:numPr>
          <w:ilvl w:val="0"/>
          <w:numId w:val="2"/>
        </w:numPr>
        <w:spacing w:after="40" w:before="40"/>
      </w:pPr>
      <w:r>
        <w:t xml:space="preserve">DAU, taken from Phase 1.</w:t>
      </w:r>
    </w:p>
    <w:p>
      <w:pPr>
        <w:pStyle w:val="ListParagraph"/>
        <w:numPr>
          <w:ilvl w:val="0"/>
          <w:numId w:val="2"/>
        </w:numPr>
        <w:spacing w:after="40" w:before="40"/>
      </w:pPr>
      <w:r>
        <w:t xml:space="preserve">Requests per user per day, stated as an assumption.</w:t>
      </w:r>
    </w:p>
    <w:p>
      <w:pPr>
        <w:pStyle w:val="ListParagraph"/>
        <w:numPr>
          <w:ilvl w:val="0"/>
          <w:numId w:val="2"/>
        </w:numPr>
        <w:spacing w:after="40" w:before="40"/>
      </w:pPr>
      <w:r>
        <w:t xml:space="preserve">Average QPS = (DAU × requests per user) divided by 86,400. Round 86,400 to 100,000 to keep the mental math clean.</w:t>
      </w:r>
    </w:p>
    <w:p>
      <w:pPr>
        <w:pStyle w:val="ListParagraph"/>
        <w:numPr>
          <w:ilvl w:val="0"/>
          <w:numId w:val="2"/>
        </w:numPr>
        <w:spacing w:after="40" w:before="40"/>
      </w:pPr>
      <w:r>
        <w:t xml:space="preserve">Peak QPS = average × 2 to 3. Say which multiplier you are using and why.</w:t>
      </w:r>
    </w:p>
    <w:p>
      <w:pPr>
        <w:pStyle w:val="ListParagraph"/>
        <w:numPr>
          <w:ilvl w:val="0"/>
          <w:numId w:val="2"/>
        </w:numPr>
        <w:spacing w:after="40" w:before="40"/>
      </w:pPr>
      <w:r>
        <w:t xml:space="preserve">Storage per day = writes per day × bytes per record. Then extend to one year and five years.</w:t>
      </w:r>
    </w:p>
    <w:p>
      <w:pPr>
        <w:pStyle w:val="ListParagraph"/>
        <w:numPr>
          <w:ilvl w:val="0"/>
          <w:numId w:val="2"/>
        </w:numPr>
        <w:spacing w:after="40" w:before="40"/>
      </w:pPr>
      <w:r>
        <w:t xml:space="preserve">Bandwidth = QPS × payload size, separately for ingress and egress if they differ materially.</w:t>
      </w:r>
    </w:p>
    <w:p>
      <w:pPr>
        <w:pStyle w:val="ListParagraph"/>
        <w:numPr>
          <w:ilvl w:val="0"/>
          <w:numId w:val="2"/>
        </w:numPr>
        <w:spacing w:after="40" w:before="40"/>
      </w:pPr>
      <w:r>
        <w:t xml:space="preserve">Memory for cache = the working set you intend to hold, usually derived from a stated hit-ratio target.</w:t>
      </w:r>
    </w:p>
    <w:p>
      <w:pPr>
        <w:pStyle w:val="Heading2"/>
        <w:spacing w:after="120" w:before="240"/>
      </w:pPr>
      <w:r>
        <w:t xml:space="preserve">Rounding Discipline</w:t>
      </w:r>
    </w:p>
    <w:p>
      <w:pPr>
        <w:pStyle w:val="ListParagraph"/>
        <w:numPr>
          <w:ilvl w:val="0"/>
          <w:numId w:val="2"/>
        </w:numPr>
        <w:spacing w:after="40" w:before="40"/>
      </w:pPr>
      <w:r>
        <w:t xml:space="preserve">Use powers of ten and clean multipliers. 86,400 seconds becomes 100,000. One million becomes 10 to the 6th.</w:t>
      </w:r>
    </w:p>
    <w:p>
      <w:pPr>
        <w:pStyle w:val="ListParagraph"/>
        <w:numPr>
          <w:ilvl w:val="0"/>
          <w:numId w:val="2"/>
        </w:numPr>
        <w:spacing w:after="40" w:before="40"/>
      </w:pPr>
      <w:r>
        <w:t xml:space="preserve">State every assumption aloud as you make it. "I will assume 20 reads per user per day" is a perfectly good input; silently using 20 is not.</w:t>
      </w:r>
    </w:p>
    <w:p>
      <w:pPr>
        <w:pStyle w:val="ListParagraph"/>
        <w:numPr>
          <w:ilvl w:val="0"/>
          <w:numId w:val="2"/>
        </w:numPr>
        <w:spacing w:after="40" w:before="40"/>
      </w:pPr>
      <w:r>
        <w:t xml:space="preserve">Nobody expects precision. They expect the order of magnitude to be right and the reasoning to be visible.</w:t>
      </w:r>
    </w:p>
    <w:p>
      <w:pPr>
        <w:pStyle w:val="Heading2"/>
        <w:spacing w:after="120" w:before="240"/>
      </w:pPr>
      <w:r>
        <w:t xml:space="preserve">The Move That Separates Candidates</w:t>
      </w:r>
    </w:p>
    <w:p>
      <w:pPr>
        <w:spacing w:after="60" w:before="60"/>
      </w:pPr>
      <w:r>
        <w:t xml:space="preserve">Immediately convert each number into an architectural consequence. The estimate is worthless if it sits inert on the whiteboard.</w:t>
      </w:r>
    </w:p>
    <w:p>
      <w:pPr>
        <w:pBdr>
          <w:left w:val="single" w:color="1F3864" w:sz="18" w:space="8"/>
        </w:pBdr>
        <w:shd w:fill="F2F2F2" w:val="clear"/>
        <w:spacing w:after="80" w:before="80"/>
        <w:ind w:left="240"/>
      </w:pPr>
      <w:r>
        <w:rPr>
          <w:i/>
          <w:iCs/>
          <w:sz w:val="20"/>
          <w:szCs w:val="20"/>
        </w:rPr>
        <w:t xml:space="preserve">"That gives roughly 600,000 writes per second at peak. A single Postgres primary tops out two to three orders of magnitude below that, so the write path has to be partitioned — which is why I am going to shard by user ID and why the ordering guarantee I can offer is per-partition rather than global."</w:t>
      </w:r>
    </w:p>
    <w:p>
      <w:pPr>
        <w:pBdr>
          <w:left w:val="single" w:color="1F3864" w:sz="18" w:space="8"/>
        </w:pBdr>
        <w:shd w:fill="F2F2F2" w:val="clear"/>
        <w:spacing w:after="80" w:before="80"/>
        <w:ind w:left="240"/>
      </w:pPr>
      <w:r>
        <w:rPr>
          <w:i/>
          <w:iCs/>
          <w:sz w:val="20"/>
          <w:szCs w:val="20"/>
        </w:rPr>
        <w:t xml:space="preserve">"Five years of retention at that rate is about 900 terabytes. That is too large and too cold to keep entirely on the primary store, so I am going to tier it: recent data hot in the operational store, older data aged into object storage with a slower query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latency ladder you should have memorized</w:t>
            </w:r>
          </w:p>
          <w:p>
            <w:pPr>
              <w:spacing w:before="60"/>
            </w:pPr>
            <w:r>
              <w:rPr>
                <w:sz w:val="20"/>
                <w:szCs w:val="20"/>
              </w:rPr>
              <w:t xml:space="preserve">Memory reference is nanoseconds. An SSD read is tens of microseconds. A datacenter round trip is around half a millisecond. A cross-continent round trip is 100 to 150 milliseconds. Quoting the cross-region number from memory is what lets you say, credibly, that synchronous cross-region writes are off the table.</w:t>
            </w:r>
          </w:p>
        </w:tc>
      </w:tr>
    </w:tbl>
    <w:p>
      <w:r>
        <w:br w:type="page"/>
      </w:r>
    </w:p>
    <w:p>
      <w:pPr>
        <w:pStyle w:val="Heading1"/>
        <w:spacing w:after="180" w:before="360"/>
      </w:pPr>
      <w:r>
        <w:t xml:space="preserve">Phase 3 — API &amp; Data Model (5 minutes)</w:t>
      </w:r>
    </w:p>
    <w:p>
      <w:pPr>
        <w:spacing w:after="60" w:before="60"/>
      </w:pPr>
      <w:r>
        <w:t xml:space="preserve">This phase is cheap to execute and frequently skipped, which makes it free differentiation. It also forces you to decide what the system actually does before you draw boxes, which prevents the vague-architecture failure mode.</w:t>
      </w:r>
    </w:p>
    <w:p>
      <w:pPr>
        <w:pStyle w:val="Heading2"/>
        <w:spacing w:after="120" w:before="240"/>
      </w:pPr>
      <w:r>
        <w:t xml:space="preserve">The API Sketch</w:t>
      </w:r>
    </w:p>
    <w:p>
      <w:pPr>
        <w:pStyle w:val="ListParagraph"/>
        <w:numPr>
          <w:ilvl w:val="0"/>
          <w:numId w:val="2"/>
        </w:numPr>
        <w:spacing w:after="40" w:before="40"/>
      </w:pPr>
      <w:r>
        <w:t xml:space="preserve">Two to four core endpoints. Not an exhaustive surface — just the operations that define the system.</w:t>
      </w:r>
    </w:p>
    <w:p>
      <w:pPr>
        <w:pStyle w:val="ListParagraph"/>
        <w:numPr>
          <w:ilvl w:val="0"/>
          <w:numId w:val="2"/>
        </w:numPr>
        <w:spacing w:after="40" w:before="40"/>
      </w:pPr>
      <w:r>
        <w:t xml:space="preserve">Include the signature: method, path, key parameters, and the shape of the response.</w:t>
      </w:r>
    </w:p>
    <w:p>
      <w:pPr>
        <w:pStyle w:val="ListParagraph"/>
        <w:numPr>
          <w:ilvl w:val="0"/>
          <w:numId w:val="2"/>
        </w:numPr>
        <w:spacing w:after="40" w:before="40"/>
      </w:pPr>
      <w:r>
        <w:t xml:space="preserve">Mark which operations are idempotent and, for the ones that are not, say that they take an idempotency key. This connects your API to your correctness story.</w:t>
      </w:r>
    </w:p>
    <w:p>
      <w:pPr>
        <w:pStyle w:val="ListParagraph"/>
        <w:numPr>
          <w:ilvl w:val="0"/>
          <w:numId w:val="2"/>
        </w:numPr>
        <w:spacing w:after="40" w:before="40"/>
      </w:pPr>
      <w:r>
        <w:t xml:space="preserve">Use cursor pagination on any list endpoint, and say why in one clause.</w:t>
      </w:r>
    </w:p>
    <w:p>
      <w:pPr>
        <w:pBdr>
          <w:left w:val="single" w:color="1F3864" w:sz="18" w:space="8"/>
        </w:pBdr>
        <w:shd w:fill="F2F2F2" w:val="clear"/>
        <w:spacing w:after="80" w:before="80"/>
        <w:ind w:left="240"/>
      </w:pPr>
      <w:r>
        <w:rPr>
          <w:i/>
          <w:iCs/>
          <w:sz w:val="20"/>
          <w:szCs w:val="20"/>
        </w:rPr>
        <w:t xml:space="preserve">"POST /v1/orders with an Idempotency-Key header, returning the order with a server-generated ID. GET /v1/orders with a cursor parameter rather than an offset, because offset pagination degrades on deep pages and is unstable under concurrent inserts."</w:t>
      </w:r>
    </w:p>
    <w:p>
      <w:pPr>
        <w:pStyle w:val="Heading2"/>
        <w:spacing w:after="120" w:before="240"/>
      </w:pPr>
      <w:r>
        <w:t xml:space="preserve">The Data Model</w:t>
      </w:r>
    </w:p>
    <w:p>
      <w:pPr>
        <w:pStyle w:val="ListParagraph"/>
        <w:numPr>
          <w:ilvl w:val="0"/>
          <w:numId w:val="2"/>
        </w:numPr>
        <w:spacing w:after="40" w:before="40"/>
      </w:pPr>
      <w:r>
        <w:t xml:space="preserve">Name the three or four core entities and their key fields. Do not write full DDL.</w:t>
      </w:r>
    </w:p>
    <w:p>
      <w:pPr>
        <w:pStyle w:val="ListParagraph"/>
        <w:numPr>
          <w:ilvl w:val="0"/>
          <w:numId w:val="2"/>
        </w:numPr>
        <w:spacing w:after="40" w:before="40"/>
      </w:pPr>
      <w:r>
        <w:t xml:space="preserve">For each entity that will be large, state the partition key explicitly and justify it in one sentence.</w:t>
      </w:r>
    </w:p>
    <w:p>
      <w:pPr>
        <w:pStyle w:val="ListParagraph"/>
        <w:numPr>
          <w:ilvl w:val="0"/>
          <w:numId w:val="2"/>
        </w:numPr>
        <w:spacing w:after="40" w:before="40"/>
      </w:pPr>
      <w:r>
        <w:t xml:space="preserve">Name the access patterns the partition key serves, and honestly name the one it makes expensive.</w:t>
      </w:r>
    </w:p>
    <w:p>
      <w:pPr>
        <w:pStyle w:val="ListParagraph"/>
        <w:numPr>
          <w:ilvl w:val="0"/>
          <w:numId w:val="2"/>
        </w:numPr>
        <w:spacing w:after="40" w:before="40"/>
      </w:pPr>
      <w:r>
        <w:t xml:space="preserve">If a secondary access pattern is important, say how you serve it — a secondary index, a denormalized copy, or a separate store.</w:t>
      </w:r>
    </w:p>
    <w:p>
      <w:pPr>
        <w:pBdr>
          <w:left w:val="single" w:color="1F3864" w:sz="18" w:space="8"/>
        </w:pBdr>
        <w:shd w:fill="F2F2F2" w:val="clear"/>
        <w:spacing w:after="80" w:before="80"/>
        <w:ind w:left="240"/>
      </w:pPr>
      <w:r>
        <w:rPr>
          <w:i/>
          <w:iCs/>
          <w:sz w:val="20"/>
          <w:szCs w:val="20"/>
        </w:rPr>
        <w:t xml:space="preserve">"Messages are partitioned by conversation ID, because the dominant read is 'fetch the recent messages in this conversation' and that keeps it a single-partition read. The cost is that 'all messages by this user across conversations' becomes a scatter-gather, which I would serve from a separate index if the product needs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partition key is the highest-leverage sentence in the round</w:t>
            </w:r>
          </w:p>
          <w:p>
            <w:pPr>
              <w:spacing w:before="60"/>
            </w:pPr>
            <w:r>
              <w:rPr>
                <w:sz w:val="20"/>
                <w:szCs w:val="20"/>
              </w:rPr>
              <w:t xml:space="preserve">Choosing a partition key and naming both what it optimizes and what it sacrifices demonstrates the single most important instinct in distributed data modeling. Most candidates either skip it or state it without the tradeoff. Doing both, in two sentences, is disproportionately valuable.</w:t>
            </w:r>
          </w:p>
        </w:tc>
      </w:tr>
    </w:tbl>
    <w:p>
      <w:r>
        <w:br w:type="page"/>
      </w:r>
    </w:p>
    <w:p>
      <w:pPr>
        <w:pStyle w:val="Heading1"/>
        <w:spacing w:after="180" w:before="360"/>
      </w:pPr>
      <w:r>
        <w:t xml:space="preserve">Phase 4 — High-Level Design (10 to 12 minutes)</w:t>
      </w:r>
    </w:p>
    <w:p>
      <w:pPr>
        <w:spacing w:after="60" w:before="60"/>
      </w:pPr>
      <w:r>
        <w:t xml:space="preserve">Draw the skeleton. Resist the urge to go deep here — depth belongs in Phase 5, and going deep now is what causes candidates to run out of clock.</w:t>
      </w:r>
    </w:p>
    <w:p>
      <w:pPr>
        <w:pStyle w:val="Heading2"/>
        <w:spacing w:after="120" w:before="240"/>
      </w:pPr>
      <w:r>
        <w:t xml:space="preserve">The Standard Spine</w:t>
      </w:r>
    </w:p>
    <w:p>
      <w:pPr>
        <w:pStyle w:val="ListParagraph"/>
        <w:numPr>
          <w:ilvl w:val="0"/>
          <w:numId w:val="2"/>
        </w:numPr>
        <w:spacing w:after="40" w:before="40"/>
      </w:pPr>
      <w:r>
        <w:t xml:space="preserve">Client, then edge: CDN for static assets, then a load balancer or API gateway.</w:t>
      </w:r>
    </w:p>
    <w:p>
      <w:pPr>
        <w:pStyle w:val="ListParagraph"/>
        <w:numPr>
          <w:ilvl w:val="0"/>
          <w:numId w:val="2"/>
        </w:numPr>
        <w:spacing w:after="40" w:before="40"/>
      </w:pPr>
      <w:r>
        <w:t xml:space="preserve">Service tier: the stateless services that handle requests. Name them by responsibility, not by technology.</w:t>
      </w:r>
    </w:p>
    <w:p>
      <w:pPr>
        <w:pStyle w:val="ListParagraph"/>
        <w:numPr>
          <w:ilvl w:val="0"/>
          <w:numId w:val="2"/>
        </w:numPr>
        <w:spacing w:after="40" w:before="40"/>
      </w:pPr>
      <w:r>
        <w:t xml:space="preserve">Data tier: the primary store, the cache, and any specialized store such as a search index or object storage.</w:t>
      </w:r>
    </w:p>
    <w:p>
      <w:pPr>
        <w:pStyle w:val="ListParagraph"/>
        <w:numPr>
          <w:ilvl w:val="0"/>
          <w:numId w:val="2"/>
        </w:numPr>
        <w:spacing w:after="40" w:before="40"/>
      </w:pPr>
      <w:r>
        <w:t xml:space="preserve">Async plane: the message broker and the consumers that handle everything not on the critical path.</w:t>
      </w:r>
    </w:p>
    <w:p>
      <w:pPr>
        <w:pStyle w:val="Heading2"/>
        <w:spacing w:after="120" w:before="240"/>
      </w:pPr>
      <w:r>
        <w:t xml:space="preserve">Two Rules for the Drawing</w:t>
      </w:r>
    </w:p>
    <w:p>
      <w:pPr>
        <w:pStyle w:val="ListParagraph"/>
        <w:numPr>
          <w:ilvl w:val="0"/>
          <w:numId w:val="2"/>
        </w:numPr>
        <w:spacing w:after="40" w:before="40"/>
      </w:pPr>
      <w:r>
        <w:t xml:space="preserve">Label the arrows, not just the boxes. Each arrow should say what protocol it uses and whether it is synchronous or asynchronous. Unlabeled arrows are where hand-waving hides.</w:t>
      </w:r>
    </w:p>
    <w:p>
      <w:pPr>
        <w:pStyle w:val="ListParagraph"/>
        <w:numPr>
          <w:ilvl w:val="0"/>
          <w:numId w:val="2"/>
        </w:numPr>
        <w:spacing w:after="40" w:before="40"/>
      </w:pPr>
      <w:r>
        <w:t xml:space="preserve">Keep the boxes at the level of responsibility. "Ingestion service" is a good box. "Kafka" is a technology choice you justify, not a responsibility.</w:t>
      </w:r>
    </w:p>
    <w:p>
      <w:pPr>
        <w:pStyle w:val="Heading2"/>
        <w:spacing w:after="120" w:before="240"/>
      </w:pPr>
      <w:r>
        <w:t xml:space="preserve">The Narration — Trace One Request End to End</w:t>
      </w:r>
    </w:p>
    <w:p>
      <w:pPr>
        <w:spacing w:after="60" w:before="60"/>
      </w:pPr>
      <w:r>
        <w:t xml:space="preserve">After the diagram exists, walk a single request through it out loud. This is the moment the interviewer decides whether your diagram is a real system or a collection of nouns.</w:t>
      </w:r>
    </w:p>
    <w:p>
      <w:pPr>
        <w:pBdr>
          <w:left w:val="single" w:color="1F3864" w:sz="18" w:space="8"/>
        </w:pBdr>
        <w:shd w:fill="F2F2F2" w:val="clear"/>
        <w:spacing w:after="80" w:before="80"/>
        <w:ind w:left="240"/>
      </w:pPr>
      <w:r>
        <w:rPr>
          <w:i/>
          <w:iCs/>
          <w:sz w:val="20"/>
          <w:szCs w:val="20"/>
        </w:rPr>
        <w:t xml:space="preserve">"A write comes in through the gateway, which handles authentication and rate limiting. It hits the ingestion service, which validates and writes to the primary store and, in the same transaction, writes an event to an outbox table. A separate relay publishes that event to Kafka. Downstream, the indexer consumes it and updates the search index, and the fanout consumer updates the follower feeds. The user's write returns as soon as the primary commit succeeds, so the async work never sits on their latency path."</w:t>
      </w:r>
    </w:p>
    <w:p>
      <w:pPr>
        <w:pStyle w:val="Heading2"/>
        <w:spacing w:after="120" w:before="240"/>
      </w:pPr>
      <w:r>
        <w:t xml:space="preserve">The Handoff — End Phase 4 Deliberately</w:t>
      </w:r>
    </w:p>
    <w:p>
      <w:pPr>
        <w:spacing w:after="60" w:before="60"/>
      </w:pPr>
      <w:r>
        <w:t xml:space="preserve">Do not let the high-level pass dissolve into an unplanned deep dive. Close it explicitly and hand the interviewer the choice of where to go deep. This makes you look like you are running the session.</w:t>
      </w:r>
    </w:p>
    <w:p>
      <w:pPr>
        <w:pBdr>
          <w:left w:val="single" w:color="1F3864" w:sz="18" w:space="8"/>
        </w:pBdr>
        <w:shd w:fill="F2F2F2" w:val="clear"/>
        <w:spacing w:after="80" w:before="80"/>
        <w:ind w:left="240"/>
      </w:pPr>
      <w:r>
        <w:rPr>
          <w:i/>
          <w:iCs/>
          <w:sz w:val="20"/>
          <w:szCs w:val="20"/>
        </w:rPr>
        <w:t xml:space="preserve">"That is the skeleton end to end. I have kept it deliberately shallow so we have time to go properly deep somewhere. The two places I think are most interesting are the fanout strategy on the read path and the exactly-once story on the ingestion path. Do you have a preference, or shall I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If they say 'your call'</w:t>
            </w:r>
          </w:p>
          <w:p>
            <w:pPr>
              <w:spacing w:before="60"/>
            </w:pPr>
            <w:r>
              <w:rPr>
                <w:sz w:val="20"/>
                <w:szCs w:val="20"/>
              </w:rPr>
              <w:t xml:space="preserve">Pick a depth anchor — an area where you can go three levels down with real numbers and real failure behavior. Never pick the component you find most interesting in the abstract; pick the one where your depth is genuine. The interviewer will follow you down, and the difference between studied knowledge and operated knowledge becomes obvious within about ninety seconds.</w:t>
            </w:r>
          </w:p>
        </w:tc>
      </w:tr>
    </w:tbl>
    <w:p>
      <w:r>
        <w:br w:type="page"/>
      </w:r>
    </w:p>
    <w:p>
      <w:pPr>
        <w:pStyle w:val="Heading1"/>
        <w:spacing w:after="180" w:before="360"/>
      </w:pPr>
      <w:r>
        <w:t xml:space="preserve">Phase 5 — Deep Dive (15 minutes)</w:t>
      </w:r>
    </w:p>
    <w:p>
      <w:pPr>
        <w:spacing w:after="60" w:before="60"/>
      </w:pPr>
      <w:r>
        <w:t xml:space="preserve">This is the phase that decides the outcome. Everything prior was earning the right to be here with time on the clock.</w:t>
      </w:r>
    </w:p>
    <w:p>
      <w:pPr>
        <w:pStyle w:val="Heading2"/>
        <w:spacing w:after="120" w:before="240"/>
      </w:pPr>
      <w:r>
        <w:t xml:space="preserve">The Three-Level Rule</w:t>
      </w:r>
    </w:p>
    <w:p>
      <w:pPr>
        <w:spacing w:after="60" w:before="60"/>
      </w:pPr>
      <w:r>
        <w:t xml:space="preserve">Depth means descending through three distinct levels on a single component. Most candidates stop at level one and believe they have gone deep.</w:t>
      </w:r>
    </w:p>
    <w:p>
      <w:pPr>
        <w:pStyle w:val="ListParagraph"/>
        <w:numPr>
          <w:ilvl w:val="0"/>
          <w:numId w:val="2"/>
        </w:numPr>
        <w:spacing w:after="40" w:before="40"/>
      </w:pPr>
      <w:r>
        <w:t xml:space="preserve">Level 1 — the component and its role. "I use Kafka for the event pipeline." This is the level everyone reaches.</w:t>
      </w:r>
    </w:p>
    <w:p>
      <w:pPr>
        <w:pStyle w:val="ListParagraph"/>
        <w:numPr>
          <w:ilvl w:val="0"/>
          <w:numId w:val="2"/>
        </w:numPr>
        <w:spacing w:after="40" w:before="40"/>
      </w:pPr>
      <w:r>
        <w:t xml:space="preserve">Level 2 — the internal mechanism. "Partitioned by user ID so ordering is guaranteed per user; consumers are in a group with the partition count sized to the consumer count; offsets committed after processing, so at-least-once, which is why the consumer is idempotent."</w:t>
      </w:r>
    </w:p>
    <w:p>
      <w:pPr>
        <w:pStyle w:val="ListParagraph"/>
        <w:numPr>
          <w:ilvl w:val="0"/>
          <w:numId w:val="2"/>
        </w:numPr>
        <w:spacing w:after="40" w:before="40"/>
      </w:pPr>
      <w:r>
        <w:t xml:space="preserve">Level 3 — concrete numbers and failure behavior. "With replication factor three and min in-sync replicas of two, we survive one broker loss without data loss. A rebalance stalls that consumer group for a few seconds, so the design has to tolerate a short processing pause. If the consumer lags, the visible symptom is stale search results, not failed writes — which is the degradation I want."</w:t>
      </w:r>
    </w:p>
    <w:p>
      <w:pPr>
        <w:pStyle w:val="Heading2"/>
        <w:spacing w:after="120" w:before="240"/>
      </w:pPr>
      <w:r>
        <w:t xml:space="preserve">Your Three Depth Anchors</w:t>
      </w:r>
    </w:p>
    <w:p>
      <w:pPr>
        <w:spacing w:after="60" w:before="60"/>
      </w:pPr>
      <w:r>
        <w:t xml:space="preserve">You have three areas where genuine depth exists. Steer toward them whenever the choice is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Anchor</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you can go three levels down 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Kafka internals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Log segments, in-sync replicas and leader epochs, producer idempotence and the transaction coordinator, rebalance behavior, the outbox pattern and why dual writes fail. Steer here on any pipeline, ingestion, or event-driven problem.</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Payments &amp; ledgers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Idempotency keys with request fingerprinting, double-entry ledger invariants, saga compensation, reconciliation, envelope encryption and tokenization. Steer here on anything involving money, inventory, or booking.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RAG &amp; vector search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HNSW index structure and its recall-latency tradeoff, chunking and embedding strategy, hybrid retrieval with reranking, evaluation. Steer here on anything AI-adjacent — and note this one is grounded in work you actually built, which reads differently from studied knowledge.</w:t>
            </w:r>
          </w:p>
        </w:tc>
      </w:tr>
    </w:tbl>
    <w:p>
      <w:pPr>
        <w:pStyle w:val="Heading2"/>
        <w:spacing w:after="120" w:before="240"/>
      </w:pPr>
      <w:r>
        <w:t xml:space="preserve">The Tradeoff Sentence Pattern</w:t>
      </w:r>
    </w:p>
    <w:p>
      <w:pPr>
        <w:spacing w:after="60" w:before="60"/>
      </w:pPr>
      <w:r>
        <w:t xml:space="preserve">Every significant choice should be stated in a form that names the alternative and the cost. This pattern is the single clearest senior-versus-mid signal in the entire round.</w:t>
      </w:r>
    </w:p>
    <w:p>
      <w:pPr>
        <w:pBdr>
          <w:left w:val="single" w:color="1F3864" w:sz="18" w:space="8"/>
        </w:pBdr>
        <w:shd w:fill="F2F2F2" w:val="clear"/>
        <w:spacing w:after="80" w:before="80"/>
        <w:ind w:left="240"/>
      </w:pPr>
      <w:r>
        <w:rPr>
          <w:i/>
          <w:iCs/>
          <w:sz w:val="20"/>
          <w:szCs w:val="20"/>
        </w:rPr>
        <w:t xml:space="preserve">"I am choosing X over Y because [the specific property of this workload]. The cost is [the concrete thing I give up], which is acceptable here because [why this workload tolerates it]. If [the constraint changed], I would revisit and go with Y."</w:t>
      </w:r>
    </w:p>
    <w:p>
      <w:pPr>
        <w:spacing w:after="60" w:before="60"/>
      </w:pPr>
      <w:r>
        <w:t xml:space="preserve">Compare the two versions of the same decision:</w:t>
      </w:r>
    </w:p>
    <w:p>
      <w:pPr>
        <w:pStyle w:val="ListParagraph"/>
        <w:numPr>
          <w:ilvl w:val="0"/>
          <w:numId w:val="2"/>
        </w:numPr>
        <w:spacing w:after="40" w:before="40"/>
      </w:pPr>
      <w:r>
        <w:t xml:space="preserve">Mid-level: "I would use Cassandra here."</w:t>
      </w:r>
    </w:p>
    <w:p>
      <w:pPr>
        <w:pStyle w:val="ListParagraph"/>
        <w:numPr>
          <w:ilvl w:val="0"/>
          <w:numId w:val="2"/>
        </w:numPr>
        <w:spacing w:after="40" w:before="40"/>
      </w:pPr>
      <w:r>
        <w:t xml:space="preserve">Senior: "I would use Cassandra because the write volume and the fact that every read is by partition key fit an LSM-tree engine well. The cost is read amplification on any query that is not by that key, and eventual consistency on the read path. That is acceptable because this data is append-mostly and slightly stale reads are fine. If we needed multi-key transactions, I would move to Postgres with sharding and accept the operational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Numbers make depth credible</w:t>
            </w:r>
          </w:p>
          <w:p>
            <w:pPr>
              <w:spacing w:before="60"/>
            </w:pPr>
            <w:r>
              <w:rPr>
                <w:sz w:val="20"/>
                <w:szCs w:val="20"/>
              </w:rPr>
              <w:t xml:space="preserve">Depth without numbers reads as recall. Depth with numbers reads as experience. Quote a p99, a replication factor, a partition count, a cache hit ratio, a memory footprint. You do not need them to be exact — you need them to be present and roughly right.</w:t>
            </w:r>
          </w:p>
        </w:tc>
      </w:tr>
    </w:tbl>
    <w:p>
      <w:r>
        <w:br w:type="page"/>
      </w:r>
    </w:p>
    <w:p>
      <w:pPr>
        <w:pStyle w:val="Heading1"/>
        <w:spacing w:after="180" w:before="360"/>
      </w:pPr>
      <w:r>
        <w:t xml:space="preserve">Phase 6 — Failure Modes &amp; Wrap (5 minutes)</w:t>
      </w:r>
    </w:p>
    <w:p>
      <w:pPr>
        <w:spacing w:after="60" w:before="60"/>
      </w:pPr>
      <w:r>
        <w:t xml:space="preserve">Reserve these five minutes. Ending on failure modes and an honest tradeoff is what makes the whole design read as production-grade rather than academic.</w:t>
      </w:r>
    </w:p>
    <w:p>
      <w:pPr>
        <w:pStyle w:val="Heading2"/>
        <w:spacing w:after="120" w:before="240"/>
      </w:pPr>
      <w:r>
        <w:t xml:space="preserve">The Failure Checklist</w:t>
      </w:r>
    </w:p>
    <w:p>
      <w:pPr>
        <w:pStyle w:val="ListParagraph"/>
        <w:numPr>
          <w:ilvl w:val="0"/>
          <w:numId w:val="2"/>
        </w:numPr>
        <w:spacing w:after="40" w:before="40"/>
      </w:pPr>
      <w:r>
        <w:t xml:space="preserve">Single points of failure. Walk the diagram and name what happens when each box dies. Anything with no answer is a gap you should name before they find it.</w:t>
      </w:r>
    </w:p>
    <w:p>
      <w:pPr>
        <w:pStyle w:val="ListParagraph"/>
        <w:numPr>
          <w:ilvl w:val="0"/>
          <w:numId w:val="2"/>
        </w:numPr>
        <w:spacing w:after="40" w:before="40"/>
      </w:pPr>
      <w:r>
        <w:t xml:space="preserve">Hot keys and hot partitions. Which key could receive disproportionate traffic, and what do you do about it? Usually: split the key, add a local cache layer, or shed load.</w:t>
      </w:r>
    </w:p>
    <w:p>
      <w:pPr>
        <w:pStyle w:val="ListParagraph"/>
        <w:numPr>
          <w:ilvl w:val="0"/>
          <w:numId w:val="2"/>
        </w:numPr>
        <w:spacing w:after="40" w:before="40"/>
      </w:pPr>
      <w:r>
        <w:t xml:space="preserve">Thundering herd and cache stampede. What happens the moment a popular cache entry expires? Answer with request coalescing or probabilistic early expiry.</w:t>
      </w:r>
    </w:p>
    <w:p>
      <w:pPr>
        <w:pStyle w:val="ListParagraph"/>
        <w:numPr>
          <w:ilvl w:val="0"/>
          <w:numId w:val="2"/>
        </w:numPr>
        <w:spacing w:after="40" w:before="40"/>
      </w:pPr>
      <w:r>
        <w:t xml:space="preserve">Cascading failure. Where does a slow dependency become a total outage? Answer with timeouts, exponential backoff with jitter, and circuit breakers.</w:t>
      </w:r>
    </w:p>
    <w:p>
      <w:pPr>
        <w:pStyle w:val="ListParagraph"/>
        <w:numPr>
          <w:ilvl w:val="0"/>
          <w:numId w:val="2"/>
        </w:numPr>
        <w:spacing w:after="40" w:before="40"/>
      </w:pPr>
      <w:r>
        <w:t xml:space="preserve">Backpressure. When a consumer falls behind, what is the visible symptom, and does the system degrade or collapse?</w:t>
      </w:r>
    </w:p>
    <w:p>
      <w:pPr>
        <w:pStyle w:val="Heading2"/>
        <w:spacing w:after="120" w:before="240"/>
      </w:pPr>
      <w:r>
        <w:t xml:space="preserve">The Observability Sentence</w:t>
      </w:r>
    </w:p>
    <w:p>
      <w:pPr>
        <w:spacing w:after="60" w:before="60"/>
      </w:pPr>
      <w:r>
        <w:t xml:space="preserve">Name the two or three metrics that would tell you this system is unhealthy before a user does. This takes fifteen seconds and very few candidates offer it.</w:t>
      </w:r>
    </w:p>
    <w:p>
      <w:pPr>
        <w:pBdr>
          <w:left w:val="single" w:color="1F3864" w:sz="18" w:space="8"/>
        </w:pBdr>
        <w:shd w:fill="F2F2F2" w:val="clear"/>
        <w:spacing w:after="80" w:before="80"/>
        <w:ind w:left="240"/>
      </w:pPr>
      <w:r>
        <w:rPr>
          <w:i/>
          <w:iCs/>
          <w:sz w:val="20"/>
          <w:szCs w:val="20"/>
        </w:rPr>
        <w:t xml:space="preserve">"The three things I would alert on are consumer lag on the ingestion topic, cache hit ratio dropping below the level the capacity plan assumes, and p99 on the read path. Consumer lag is the leading indicator — it moves before users notice anything."</w:t>
      </w:r>
    </w:p>
    <w:p>
      <w:pPr>
        <w:pStyle w:val="Heading2"/>
        <w:spacing w:after="120" w:before="240"/>
      </w:pPr>
      <w:r>
        <w:t xml:space="preserve">The Close — End on an Honest Tradeoff</w:t>
      </w:r>
    </w:p>
    <w:p>
      <w:pPr>
        <w:spacing w:after="60" w:before="60"/>
      </w:pPr>
      <w:r>
        <w:t xml:space="preserve">Do not end with a summary of what you built; they watched you build it. End by naming the weakest part of your own design and what you would do with more time. This reads as confidence, not doubt.</w:t>
      </w:r>
    </w:p>
    <w:p>
      <w:pPr>
        <w:pBdr>
          <w:left w:val="single" w:color="1F3864" w:sz="18" w:space="8"/>
        </w:pBdr>
        <w:shd w:fill="F2F2F2" w:val="clear"/>
        <w:spacing w:after="80" w:before="80"/>
        <w:ind w:left="240"/>
      </w:pPr>
      <w:r>
        <w:rPr>
          <w:i/>
          <w:iCs/>
          <w:sz w:val="20"/>
          <w:szCs w:val="20"/>
        </w:rPr>
        <w:t xml:space="preserve">"If I had more time, the part I am least satisfied with is the fanout strategy for very high-follower accounts. The pure push model I described will struggle there, and I would want to move to a hybrid where those accounts are pulled at read time. I would also want to pressure-test the reconciliation job, because it is the component with the least obvious failure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Why self-critique is a strength signal</w:t>
            </w:r>
          </w:p>
          <w:p>
            <w:pPr>
              <w:spacing w:before="60"/>
            </w:pPr>
            <w:r>
              <w:rPr>
                <w:sz w:val="20"/>
                <w:szCs w:val="20"/>
              </w:rPr>
              <w:t xml:space="preserve">Junior candidates defend their design. Senior engineers critique their own work, because they have been on the receiving end of designs that were defended past the point of usefulness. Naming your design's weakest seam demonstrates exactly the judgment the role requires, and it almost always earns a positive note.</w:t>
            </w:r>
          </w:p>
        </w:tc>
      </w:tr>
    </w:tbl>
    <w:p>
      <w:r>
        <w:br w:type="page"/>
      </w:r>
    </w:p>
    <w:p>
      <w:pPr>
        <w:pStyle w:val="Heading1"/>
        <w:spacing w:after="180" w:before="360"/>
      </w:pPr>
      <w:r>
        <w:t xml:space="preserve">Company Calibration</w:t>
      </w:r>
    </w:p>
    <w:p>
      <w:pPr>
        <w:spacing w:after="60" w:before="60"/>
      </w:pPr>
      <w:r>
        <w:t xml:space="preserve">The template does not change. What changes is where you invest the deep dive and which vocabulary you reach for.</w:t>
      </w:r>
    </w:p>
    <w:p>
      <w:pPr>
        <w:pStyle w:val="Heading2"/>
        <w:spacing w:after="120" w:before="240"/>
      </w:pPr>
      <w:r>
        <w:t xml:space="preserve">Google</w:t>
      </w:r>
    </w:p>
    <w:p>
      <w:pPr>
        <w:pStyle w:val="ListParagraph"/>
        <w:numPr>
          <w:ilvl w:val="0"/>
          <w:numId w:val="2"/>
        </w:numPr>
        <w:spacing w:after="40" w:before="40"/>
      </w:pPr>
      <w:r>
        <w:t xml:space="preserve">Expect the deepest drill on storage internals, data structures, and consistency. They will follow you further down than most.</w:t>
      </w:r>
    </w:p>
    <w:p>
      <w:pPr>
        <w:pStyle w:val="ListParagraph"/>
        <w:numPr>
          <w:ilvl w:val="0"/>
          <w:numId w:val="2"/>
        </w:numPr>
        <w:spacing w:after="40" w:before="40"/>
      </w:pPr>
      <w:r>
        <w:t xml:space="preserve">Have consensus, partitioning strategy, and index structures genuinely sharp — surface-level answers get probed immediately.</w:t>
      </w:r>
    </w:p>
    <w:p>
      <w:pPr>
        <w:pStyle w:val="ListParagraph"/>
        <w:numPr>
          <w:ilvl w:val="0"/>
          <w:numId w:val="2"/>
        </w:numPr>
        <w:spacing w:after="40" w:before="40"/>
      </w:pPr>
      <w:r>
        <w:t xml:space="preserve">Scale numbers are expected to be large and handled without flinching. Be ready for "now make it ten times bigger."</w:t>
      </w:r>
    </w:p>
    <w:p>
      <w:pPr>
        <w:pStyle w:val="ListParagraph"/>
        <w:numPr>
          <w:ilvl w:val="0"/>
          <w:numId w:val="2"/>
        </w:numPr>
        <w:spacing w:after="40" w:before="40"/>
      </w:pPr>
      <w:r>
        <w:t xml:space="preserve">Steer the deep dive toward storage or the pipeline. Your Kafka anchor works well here.</w:t>
      </w:r>
    </w:p>
    <w:p>
      <w:pPr>
        <w:pStyle w:val="Heading2"/>
        <w:spacing w:after="120" w:before="240"/>
      </w:pPr>
      <w:r>
        <w:t xml:space="preserve">Stripe</w:t>
      </w:r>
    </w:p>
    <w:p>
      <w:pPr>
        <w:pStyle w:val="ListParagraph"/>
        <w:numPr>
          <w:ilvl w:val="0"/>
          <w:numId w:val="2"/>
        </w:numPr>
        <w:spacing w:after="40" w:before="40"/>
      </w:pPr>
      <w:r>
        <w:t xml:space="preserve">Correctness dominates scale. A design that is fast and occasionally loses money is a failed design.</w:t>
      </w:r>
    </w:p>
    <w:p>
      <w:pPr>
        <w:pStyle w:val="ListParagraph"/>
        <w:numPr>
          <w:ilvl w:val="0"/>
          <w:numId w:val="2"/>
        </w:numPr>
        <w:spacing w:after="40" w:before="40"/>
      </w:pPr>
      <w:r>
        <w:t xml:space="preserve">Expect idempotency, double-entry ledgers, reconciliation, and API contract quality to be central rather than peripheral.</w:t>
      </w:r>
    </w:p>
    <w:p>
      <w:pPr>
        <w:pStyle w:val="ListParagraph"/>
        <w:numPr>
          <w:ilvl w:val="0"/>
          <w:numId w:val="2"/>
        </w:numPr>
        <w:spacing w:after="40" w:before="40"/>
      </w:pPr>
      <w:r>
        <w:t xml:space="preserve">Your Week 10 and Week 14 material maps almost directly onto what this interview tests.</w:t>
      </w:r>
    </w:p>
    <w:p>
      <w:pPr>
        <w:pStyle w:val="ListParagraph"/>
        <w:numPr>
          <w:ilvl w:val="0"/>
          <w:numId w:val="2"/>
        </w:numPr>
        <w:spacing w:after="40" w:before="40"/>
      </w:pPr>
      <w:r>
        <w:t xml:space="preserve">Steer the deep dive toward the payment or ledger anchor. Volunteer the mismatched-idempotency-key case; it is exactly the detail they value.</w:t>
      </w:r>
    </w:p>
    <w:p>
      <w:pPr>
        <w:pStyle w:val="Heading2"/>
        <w:spacing w:after="120" w:before="240"/>
      </w:pPr>
      <w:r>
        <w:t xml:space="preserve">Meta</w:t>
      </w:r>
    </w:p>
    <w:p>
      <w:pPr>
        <w:pStyle w:val="ListParagraph"/>
        <w:numPr>
          <w:ilvl w:val="0"/>
          <w:numId w:val="2"/>
        </w:numPr>
        <w:spacing w:after="40" w:before="40"/>
      </w:pPr>
      <w:r>
        <w:t xml:space="preserve">Expect fanout, feed ranking, and read-path optimization. The celebrity or high-follower problem appears constantly.</w:t>
      </w:r>
    </w:p>
    <w:p>
      <w:pPr>
        <w:pStyle w:val="ListParagraph"/>
        <w:numPr>
          <w:ilvl w:val="0"/>
          <w:numId w:val="2"/>
        </w:numPr>
        <w:spacing w:after="40" w:before="40"/>
      </w:pPr>
      <w:r>
        <w:t xml:space="preserve">Product sense is part of the evaluation. Be ready for "how would you measure whether this worked?" and "how would you A/B test it?"</w:t>
      </w:r>
    </w:p>
    <w:p>
      <w:pPr>
        <w:pStyle w:val="ListParagraph"/>
        <w:numPr>
          <w:ilvl w:val="0"/>
          <w:numId w:val="2"/>
        </w:numPr>
        <w:spacing w:after="40" w:before="40"/>
      </w:pPr>
      <w:r>
        <w:t xml:space="preserve">Move faster through the high-level pass than you would elsewhere; they favor breadth then a sharp drill.</w:t>
      </w:r>
    </w:p>
    <w:p>
      <w:pPr>
        <w:pStyle w:val="Heading2"/>
        <w:spacing w:after="120" w:before="240"/>
      </w:pPr>
      <w:r>
        <w:t xml:space="preserve">Amazon</w:t>
      </w:r>
    </w:p>
    <w:p>
      <w:pPr>
        <w:pStyle w:val="ListParagraph"/>
        <w:numPr>
          <w:ilvl w:val="0"/>
          <w:numId w:val="2"/>
        </w:numPr>
        <w:spacing w:after="40" w:before="40"/>
      </w:pPr>
      <w:r>
        <w:t xml:space="preserve">Operational excellence is weighted heavily. Deployment, rollback, on-call, and blast radius are first-class topics, not afterthoughts.</w:t>
      </w:r>
    </w:p>
    <w:p>
      <w:pPr>
        <w:pStyle w:val="ListParagraph"/>
        <w:numPr>
          <w:ilvl w:val="0"/>
          <w:numId w:val="2"/>
        </w:numPr>
        <w:spacing w:after="40" w:before="40"/>
      </w:pPr>
      <w:r>
        <w:t xml:space="preserve">Leadership Principles are woven into the technical round. Expect "tell me about a time" to interleave with the design.</w:t>
      </w:r>
    </w:p>
    <w:p>
      <w:pPr>
        <w:pStyle w:val="ListParagraph"/>
        <w:numPr>
          <w:ilvl w:val="0"/>
          <w:numId w:val="2"/>
        </w:numPr>
        <w:spacing w:after="40" w:before="40"/>
      </w:pPr>
      <w:r>
        <w:t xml:space="preserve">Your Week 14 material — expand-migrate-contract, canary, error budgets — is directly on target here.</w:t>
      </w:r>
    </w:p>
    <w:p>
      <w:pPr>
        <w:pStyle w:val="ListParagraph"/>
        <w:numPr>
          <w:ilvl w:val="0"/>
          <w:numId w:val="2"/>
        </w:numPr>
        <w:spacing w:after="40" w:before="40"/>
      </w:pPr>
      <w:r>
        <w:t xml:space="preserve">Ownership language matters. Speak about what you would do when paged at 3am, not what "the team" would do.</w:t>
      </w:r>
    </w:p>
    <w:p>
      <w:pPr>
        <w:pStyle w:val="Heading2"/>
        <w:spacing w:after="120" w:before="240"/>
      </w:pPr>
      <w:r>
        <w:t xml:space="preserve">Uber, Swiggy, Zomato, Ola and similar</w:t>
      </w:r>
    </w:p>
    <w:p>
      <w:pPr>
        <w:pStyle w:val="ListParagraph"/>
        <w:numPr>
          <w:ilvl w:val="0"/>
          <w:numId w:val="2"/>
        </w:numPr>
        <w:spacing w:after="40" w:before="40"/>
      </w:pPr>
      <w:r>
        <w:t xml:space="preserve">Real-time and geo dominate. Dispatch, matching, geo-indexing, ETA, and surge are the recurring problems.</w:t>
      </w:r>
    </w:p>
    <w:p>
      <w:pPr>
        <w:pStyle w:val="ListParagraph"/>
        <w:numPr>
          <w:ilvl w:val="0"/>
          <w:numId w:val="2"/>
        </w:numPr>
        <w:spacing w:after="40" w:before="40"/>
      </w:pPr>
      <w:r>
        <w:t xml:space="preserve">Expect the deep dive to land on the matching loop or the geo index. Have H3 or S2 cell reasoning ready.</w:t>
      </w:r>
    </w:p>
    <w:p>
      <w:pPr>
        <w:pStyle w:val="Heading2"/>
        <w:spacing w:after="120" w:before="240"/>
      </w:pPr>
      <w:r>
        <w:t xml:space="preserve">Razorpay, PhonePe, Cred and Indian fintech</w:t>
      </w:r>
    </w:p>
    <w:p>
      <w:pPr>
        <w:pStyle w:val="ListParagraph"/>
        <w:numPr>
          <w:ilvl w:val="0"/>
          <w:numId w:val="2"/>
        </w:numPr>
        <w:spacing w:after="40" w:before="40"/>
      </w:pPr>
      <w:r>
        <w:t xml:space="preserve">Very close to the Stripe profile, with added emphasis on regulatory constraints and reconciliation with external banking rails.</w:t>
      </w:r>
    </w:p>
    <w:p>
      <w:pPr>
        <w:pStyle w:val="ListParagraph"/>
        <w:numPr>
          <w:ilvl w:val="0"/>
          <w:numId w:val="2"/>
        </w:numPr>
        <w:spacing w:after="40" w:before="40"/>
      </w:pPr>
      <w:r>
        <w:t xml:space="preserve">Data residency is a live concern rather than a hypothetical. Your Week 13 material is directly applicable.</w:t>
      </w:r>
    </w:p>
    <w:p>
      <w:pPr>
        <w:pStyle w:val="Heading2"/>
        <w:spacing w:after="120" w:before="240"/>
      </w:pPr>
      <w:r>
        <w:t xml:space="preserve">Anthropic, OpenAI and similar PBC AI labs</w:t>
      </w:r>
    </w:p>
    <w:p>
      <w:pPr>
        <w:pStyle w:val="ListParagraph"/>
        <w:numPr>
          <w:ilvl w:val="0"/>
          <w:numId w:val="2"/>
        </w:numPr>
        <w:spacing w:after="40" w:before="40"/>
      </w:pPr>
      <w:r>
        <w:t xml:space="preserve">Expect serving infrastructure, retrieval systems, evaluation, and cost-per-request thinking rather than classic social-scale problems.</w:t>
      </w:r>
    </w:p>
    <w:p>
      <w:pPr>
        <w:pStyle w:val="ListParagraph"/>
        <w:numPr>
          <w:ilvl w:val="0"/>
          <w:numId w:val="2"/>
        </w:numPr>
        <w:spacing w:after="40" w:before="40"/>
      </w:pPr>
      <w:r>
        <w:t xml:space="preserve">Your RAG anchor is the strongest asset here, and it carries extra weight because you built it rather than studied it.</w:t>
      </w:r>
    </w:p>
    <w:p>
      <w:pPr>
        <w:pStyle w:val="ListParagraph"/>
        <w:numPr>
          <w:ilvl w:val="0"/>
          <w:numId w:val="2"/>
        </w:numPr>
        <w:spacing w:after="40" w:before="40"/>
      </w:pPr>
      <w:r>
        <w:t xml:space="preserve">Be ready to reason about batching, caching at the inference layer, and the latency-versus-quality tradeoff in retrieval depth.</w:t>
      </w:r>
    </w:p>
    <w:p>
      <w:pPr>
        <w:pStyle w:val="ListParagraph"/>
        <w:numPr>
          <w:ilvl w:val="0"/>
          <w:numId w:val="2"/>
        </w:numPr>
        <w:spacing w:after="40" w:before="40"/>
      </w:pPr>
      <w:r>
        <w:t xml:space="preserve">Mission and safety considerations may surface. Engage with them substantively rather than deflecting to pure engineering.</w:t>
      </w:r>
    </w:p>
    <w:p>
      <w:r>
        <w:br w:type="page"/>
      </w:r>
    </w:p>
    <w:p>
      <w:pPr>
        <w:pStyle w:val="Heading1"/>
        <w:spacing w:after="180" w:before="360"/>
      </w:pPr>
      <w:r>
        <w:t xml:space="preserve">Recovery Moves — When It Goes Sideways</w:t>
      </w:r>
    </w:p>
    <w:p>
      <w:pPr>
        <w:spacing w:after="60" w:before="60"/>
      </w:pPr>
      <w:r>
        <w:t xml:space="preserve">Something will go wrong in at least one round. What distinguishes candidates is not avoiding these moments but handling them without losing the thread.</w:t>
      </w:r>
    </w:p>
    <w:p>
      <w:pPr>
        <w:pStyle w:val="Heading2"/>
        <w:spacing w:after="120" w:before="240"/>
      </w:pPr>
      <w:r>
        <w:t xml:space="preserve">You do not know the domain at all</w:t>
      </w:r>
    </w:p>
    <w:p>
      <w:pPr>
        <w:spacing w:after="60" w:before="60"/>
      </w:pPr>
      <w:r>
        <w:t xml:space="preserve">Say so briefly, then reason from first principles out loud. Interviewers regularly choose unfamiliar domains deliberately to watch exactly this.</w:t>
      </w:r>
    </w:p>
    <w:p>
      <w:pPr>
        <w:pBdr>
          <w:left w:val="single" w:color="1F3864" w:sz="18" w:space="8"/>
        </w:pBdr>
        <w:shd w:fill="F2F2F2" w:val="clear"/>
        <w:spacing w:after="80" w:before="80"/>
        <w:ind w:left="240"/>
      </w:pPr>
      <w:r>
        <w:rPr>
          <w:i/>
          <w:iCs/>
          <w:sz w:val="20"/>
          <w:szCs w:val="20"/>
        </w:rPr>
        <w:t xml:space="preserve">"I have not built an ad exchange before, so let me reason about it from the constraints rather than from a known pattern. The defining property is a hard latency budget of about 100 milliseconds for the whole auction, which immediately tells me the bidder lookup has to be in-memory and that I need a hard timeout with a fallback rather than waiting for slow bidders."</w:t>
      </w:r>
    </w:p>
    <w:p>
      <w:pPr>
        <w:pStyle w:val="Heading2"/>
        <w:spacing w:after="120" w:before="240"/>
      </w:pPr>
      <w:r>
        <w:t xml:space="preserve">They challenge a choice you made</w:t>
      </w:r>
    </w:p>
    <w:p>
      <w:pPr>
        <w:spacing w:after="60" w:before="60"/>
      </w:pPr>
      <w:r>
        <w:t xml:space="preserve">Do not immediately capitulate, and do not dig in. Steelman their point, then either defend with a reason or update with a reason. Both are good outcomes; only defensiveness is bad.</w:t>
      </w:r>
    </w:p>
    <w:p>
      <w:pPr>
        <w:pBdr>
          <w:left w:val="single" w:color="1F3864" w:sz="18" w:space="8"/>
        </w:pBdr>
        <w:shd w:fill="F2F2F2" w:val="clear"/>
        <w:spacing w:after="80" w:before="80"/>
        <w:ind w:left="240"/>
      </w:pPr>
      <w:r>
        <w:rPr>
          <w:i/>
          <w:iCs/>
          <w:sz w:val="20"/>
          <w:szCs w:val="20"/>
        </w:rPr>
        <w:t xml:space="preserve">"That is fair — the concern with my approach is the write amplification on the fanout. I chose it because the read path is 100 times hotter and I wanted reads cheap. But if the follower distribution is as skewed as you are suggesting, the hybrid model is better and I would switch. Let me redraw that part."</w:t>
      </w:r>
    </w:p>
    <w:p>
      <w:pPr>
        <w:pStyle w:val="Heading2"/>
        <w:spacing w:after="120" w:before="240"/>
      </w:pPr>
      <w:r>
        <w:t xml:space="preserve">You realize mid-answer that you were wrong</w:t>
      </w:r>
    </w:p>
    <w:p>
      <w:pPr>
        <w:spacing w:after="60" w:before="60"/>
      </w:pPr>
      <w:r>
        <w:t xml:space="preserve">Say it plainly and correct it. Catching your own error is a positive signal; an interviewer catching it after you defended it is not.</w:t>
      </w:r>
    </w:p>
    <w:p>
      <w:pPr>
        <w:pBdr>
          <w:left w:val="single" w:color="1F3864" w:sz="18" w:space="8"/>
        </w:pBdr>
        <w:shd w:fill="F2F2F2" w:val="clear"/>
        <w:spacing w:after="80" w:before="80"/>
        <w:ind w:left="240"/>
      </w:pPr>
      <w:r>
        <w:rPr>
          <w:i/>
          <w:iCs/>
          <w:sz w:val="20"/>
          <w:szCs w:val="20"/>
        </w:rPr>
        <w:t xml:space="preserve">"Actually, let me correct something I said earlier. I claimed that would give us exactly-once delivery, and it does not — it gives at-least-once with idempotent processing, which produces the same end state but by a different mechanism. The distinction matters because it means the consumer must be idempotent, which changes what I need from the schema."</w:t>
      </w:r>
    </w:p>
    <w:p>
      <w:pPr>
        <w:pStyle w:val="Heading2"/>
        <w:spacing w:after="120" w:before="240"/>
      </w:pPr>
      <w:r>
        <w:t xml:space="preserve">You are running out of time</w:t>
      </w:r>
    </w:p>
    <w:p>
      <w:pPr>
        <w:spacing w:after="60" w:before="60"/>
      </w:pPr>
      <w:r>
        <w:t xml:space="preserve">Name it and prioritize explicitly. Silently rushing produces a shallow ending; explicit triage looks like judgment.</w:t>
      </w:r>
    </w:p>
    <w:p>
      <w:pPr>
        <w:pBdr>
          <w:left w:val="single" w:color="1F3864" w:sz="18" w:space="8"/>
        </w:pBdr>
        <w:shd w:fill="F2F2F2" w:val="clear"/>
        <w:spacing w:after="80" w:before="80"/>
        <w:ind w:left="240"/>
      </w:pPr>
      <w:r>
        <w:rPr>
          <w:i/>
          <w:iCs/>
          <w:sz w:val="20"/>
          <w:szCs w:val="20"/>
        </w:rPr>
        <w:t xml:space="preserve">"We have about eight minutes. Rather than cover the remaining components shallowly, I would rather go properly deep on the one that carries the most risk, which I think is the reconciliation path. Does that work, or would you prefer breadth?"</w:t>
      </w:r>
    </w:p>
    <w:p>
      <w:pPr>
        <w:pStyle w:val="Heading2"/>
        <w:spacing w:after="120" w:before="240"/>
      </w:pPr>
      <w:r>
        <w:t xml:space="preserve">They go silent</w:t>
      </w:r>
    </w:p>
    <w:p>
      <w:pPr>
        <w:spacing w:after="60" w:before="60"/>
      </w:pPr>
      <w:r>
        <w:t xml:space="preserve">Silence is usually the interviewer taking notes, not disapproval. Do not fill it with nervous elaboration. Keep driving, and use a checkpoint to re-engage.</w:t>
      </w:r>
    </w:p>
    <w:p>
      <w:pPr>
        <w:pBdr>
          <w:left w:val="single" w:color="1F3864" w:sz="18" w:space="8"/>
        </w:pBdr>
        <w:shd w:fill="F2F2F2" w:val="clear"/>
        <w:spacing w:after="80" w:before="80"/>
        <w:ind w:left="240"/>
      </w:pPr>
      <w:r>
        <w:rPr>
          <w:i/>
          <w:iCs/>
          <w:sz w:val="20"/>
          <w:szCs w:val="20"/>
        </w:rPr>
        <w:t xml:space="preserve">"That covers the write path. Before I move to the read path — is there anything in what I have described so far you would like me to expand on?"</w:t>
      </w:r>
    </w:p>
    <w:p>
      <w:r>
        <w:br w:type="page"/>
      </w:r>
    </w:p>
    <w:p>
      <w:pPr>
        <w:pStyle w:val="Heading1"/>
        <w:spacing w:after="180" w:before="360"/>
      </w:pPr>
      <w:r>
        <w:t xml:space="preserve">The Seven Ways Strong Candidates Fail</w:t>
      </w:r>
    </w:p>
    <w:p>
      <w:pPr>
        <w:pStyle w:val="Heading2"/>
        <w:spacing w:after="120" w:before="240"/>
      </w:pPr>
      <w:r>
        <w:t xml:space="preserve">1. Designing before scoping</w:t>
      </w:r>
    </w:p>
    <w:p>
      <w:pPr>
        <w:spacing w:after="60" w:before="60"/>
      </w:pPr>
      <w:r>
        <w:t xml:space="preserve">Drawing boxes within the first minute. It signals pattern-matching to a memorized answer rather than engaging with this specific problem. Always spend the five minutes.</w:t>
      </w:r>
    </w:p>
    <w:p>
      <w:pPr>
        <w:pStyle w:val="Heading2"/>
        <w:spacing w:after="120" w:before="240"/>
      </w:pPr>
      <w:r>
        <w:t xml:space="preserve">2. Estimating and then ignoring the estimate</w:t>
      </w:r>
    </w:p>
    <w:p>
      <w:pPr>
        <w:spacing w:after="60" w:before="60"/>
      </w:pPr>
      <w:r>
        <w:t xml:space="preserve">Computing 600,000 QPS and then designing something that would work at 600. If a number does not change a decision, you did not need to compute it — and the interviewer noticed.</w:t>
      </w:r>
    </w:p>
    <w:p>
      <w:pPr>
        <w:pStyle w:val="Heading2"/>
        <w:spacing w:after="120" w:before="240"/>
      </w:pPr>
      <w:r>
        <w:t xml:space="preserve">3. Spending the deep dive budget on the high-level pass</w:t>
      </w:r>
    </w:p>
    <w:p>
      <w:pPr>
        <w:spacing w:after="60" w:before="60"/>
      </w:pPr>
      <w:r>
        <w:t xml:space="preserve">The most common failure among otherwise strong candidates. Watch the clock at the twenty-minute mark; if you are still drawing boxes, close the skeleton and move.</w:t>
      </w:r>
    </w:p>
    <w:p>
      <w:pPr>
        <w:pStyle w:val="Heading2"/>
        <w:spacing w:after="120" w:before="240"/>
      </w:pPr>
      <w:r>
        <w:t xml:space="preserve">4. Breadth as a substitute for depth</w:t>
      </w:r>
    </w:p>
    <w:p>
      <w:pPr>
        <w:spacing w:after="60" w:before="60"/>
      </w:pPr>
      <w:r>
        <w:t xml:space="preserve">Mentioning twelve components at one level of detail each. At senior level this reads as familiarity with a diagram, not with a system. One component explored three levels down beats twelve mentioned once.</w:t>
      </w:r>
    </w:p>
    <w:p>
      <w:pPr>
        <w:pStyle w:val="Heading2"/>
        <w:spacing w:after="120" w:before="240"/>
      </w:pPr>
      <w:r>
        <w:t xml:space="preserve">5. Stating choices without tradeoffs</w:t>
      </w:r>
    </w:p>
    <w:p>
      <w:pPr>
        <w:spacing w:after="60" w:before="60"/>
      </w:pPr>
      <w:r>
        <w:t xml:space="preserve">"I would use Redis." Every technology choice needs the alternative and the cost attached, or it reads as preference rather than judgment.</w:t>
      </w:r>
    </w:p>
    <w:p>
      <w:pPr>
        <w:pStyle w:val="Heading2"/>
        <w:spacing w:after="120" w:before="240"/>
      </w:pPr>
      <w:r>
        <w:t xml:space="preserve">6. Waiting to be led</w:t>
      </w:r>
    </w:p>
    <w:p>
      <w:pPr>
        <w:spacing w:after="60" w:before="60"/>
      </w:pPr>
      <w:r>
        <w:t xml:space="preserve">Answering questions rather than driving the session. At senior level you are expected to own the whiteboard: propose, checkpoint, offer the next direction. Passivity reads as one level down regardless of technical quality.</w:t>
      </w:r>
    </w:p>
    <w:p>
      <w:pPr>
        <w:pStyle w:val="Heading2"/>
        <w:spacing w:after="120" w:before="240"/>
      </w:pPr>
      <w:r>
        <w:t xml:space="preserve">7. Defending a design past the point of usefulness</w:t>
      </w:r>
    </w:p>
    <w:p>
      <w:pPr>
        <w:spacing w:after="60" w:before="60"/>
      </w:pPr>
      <w:r>
        <w:t xml:space="preserve">Treating a challenge as an attack. The interviewer is frequently testing whether you can update on new information. Steelman, then defend or update — but always with a reason.</w:t>
      </w:r>
    </w:p>
    <w:p>
      <w:r>
        <w:br w:type="page"/>
      </w:r>
    </w:p>
    <w:p>
      <w:pPr>
        <w:pStyle w:val="Heading1"/>
        <w:spacing w:after="180" w:before="360"/>
      </w:pPr>
      <w:r>
        <w:t xml:space="preserve">The One-Page Version</w:t>
      </w:r>
    </w:p>
    <w:p>
      <w:pPr>
        <w:spacing w:after="60" w:before="60"/>
      </w:pPr>
      <w:r>
        <w:t xml:space="preserve">Read this immediately before walking in.</w:t>
      </w:r>
    </w:p>
    <w:p>
      <w:pPr>
        <w:pStyle w:val="Heading2"/>
        <w:spacing w:after="120" w:before="240"/>
      </w:pPr>
      <w:r>
        <w:t xml:space="preserve">Clock</w:t>
      </w:r>
    </w:p>
    <w:p>
      <w:pPr>
        <w:pStyle w:val="ListParagraph"/>
        <w:numPr>
          <w:ilvl w:val="0"/>
          <w:numId w:val="2"/>
        </w:numPr>
        <w:spacing w:after="40" w:before="40"/>
      </w:pPr>
      <w:r>
        <w:t xml:space="preserve">0–5 scope. 5–10 estimate. 10–15 API and data model. 15–27 high-level. 27–42 deep dive. 42–47 failure modes and close.</w:t>
      </w:r>
    </w:p>
    <w:p>
      <w:pPr>
        <w:pStyle w:val="ListParagraph"/>
        <w:numPr>
          <w:ilvl w:val="0"/>
          <w:numId w:val="2"/>
        </w:numPr>
        <w:spacing w:after="40" w:before="40"/>
      </w:pPr>
      <w:r>
        <w:t xml:space="preserve">Checkpoint at minute 20. If still drawing boxes, close the skeleton and move to depth.</w:t>
      </w:r>
    </w:p>
    <w:p>
      <w:pPr>
        <w:pStyle w:val="Heading2"/>
        <w:spacing w:after="120" w:before="240"/>
      </w:pPr>
      <w:r>
        <w:t xml:space="preserve">Non-negotiables</w:t>
      </w:r>
    </w:p>
    <w:p>
      <w:pPr>
        <w:pStyle w:val="ListParagraph"/>
        <w:numPr>
          <w:ilvl w:val="0"/>
          <w:numId w:val="2"/>
        </w:numPr>
        <w:spacing w:after="40" w:before="40"/>
      </w:pPr>
      <w:r>
        <w:t xml:space="preserve">State the scope back and get agreement before drawing.</w:t>
      </w:r>
    </w:p>
    <w:p>
      <w:pPr>
        <w:pStyle w:val="ListParagraph"/>
        <w:numPr>
          <w:ilvl w:val="0"/>
          <w:numId w:val="2"/>
        </w:numPr>
        <w:spacing w:after="40" w:before="40"/>
      </w:pPr>
      <w:r>
        <w:t xml:space="preserve">Convert every estimate into an architectural consequence out loud.</w:t>
      </w:r>
    </w:p>
    <w:p>
      <w:pPr>
        <w:pStyle w:val="ListParagraph"/>
        <w:numPr>
          <w:ilvl w:val="0"/>
          <w:numId w:val="2"/>
        </w:numPr>
        <w:spacing w:after="40" w:before="40"/>
      </w:pPr>
      <w:r>
        <w:t xml:space="preserve">Name the partition key and what it sacrifices.</w:t>
      </w:r>
    </w:p>
    <w:p>
      <w:pPr>
        <w:pStyle w:val="ListParagraph"/>
        <w:numPr>
          <w:ilvl w:val="0"/>
          <w:numId w:val="2"/>
        </w:numPr>
        <w:spacing w:after="40" w:before="40"/>
      </w:pPr>
      <w:r>
        <w:t xml:space="preserve">Label the arrows, then trace one request end to end.</w:t>
      </w:r>
    </w:p>
    <w:p>
      <w:pPr>
        <w:pStyle w:val="ListParagraph"/>
        <w:numPr>
          <w:ilvl w:val="0"/>
          <w:numId w:val="2"/>
        </w:numPr>
        <w:spacing w:after="40" w:before="40"/>
      </w:pPr>
      <w:r>
        <w:t xml:space="preserve">Go three levels down on one component, with numbers.</w:t>
      </w:r>
    </w:p>
    <w:p>
      <w:pPr>
        <w:pStyle w:val="ListParagraph"/>
        <w:numPr>
          <w:ilvl w:val="0"/>
          <w:numId w:val="2"/>
        </w:numPr>
        <w:spacing w:after="40" w:before="40"/>
      </w:pPr>
      <w:r>
        <w:t xml:space="preserve">Attach the alternative and the cost to every significant choice.</w:t>
      </w:r>
    </w:p>
    <w:p>
      <w:pPr>
        <w:pStyle w:val="ListParagraph"/>
        <w:numPr>
          <w:ilvl w:val="0"/>
          <w:numId w:val="2"/>
        </w:numPr>
        <w:spacing w:after="40" w:before="40"/>
      </w:pPr>
      <w:r>
        <w:t xml:space="preserve">Close on failure modes and one honest self-critique.</w:t>
      </w:r>
    </w:p>
    <w:p>
      <w:pPr>
        <w:pStyle w:val="Heading2"/>
        <w:spacing w:after="120" w:before="240"/>
      </w:pPr>
      <w:r>
        <w:t xml:space="preserve">Sentences to have ready</w:t>
      </w:r>
    </w:p>
    <w:p>
      <w:pPr>
        <w:pBdr>
          <w:left w:val="single" w:color="1F3864" w:sz="18" w:space="8"/>
        </w:pBdr>
        <w:shd w:fill="F2F2F2" w:val="clear"/>
        <w:spacing w:after="80" w:before="80"/>
        <w:ind w:left="240"/>
      </w:pPr>
      <w:r>
        <w:rPr>
          <w:i/>
          <w:iCs/>
          <w:sz w:val="20"/>
          <w:szCs w:val="20"/>
        </w:rPr>
        <w:t xml:space="preserve">"So to confirm the scope: ... Does that match what you have in mind?"</w:t>
      </w:r>
    </w:p>
    <w:p>
      <w:pPr>
        <w:pBdr>
          <w:left w:val="single" w:color="1F3864" w:sz="18" w:space="8"/>
        </w:pBdr>
        <w:shd w:fill="F2F2F2" w:val="clear"/>
        <w:spacing w:after="80" w:before="80"/>
        <w:ind w:left="240"/>
      </w:pPr>
      <w:r>
        <w:rPr>
          <w:i/>
          <w:iCs/>
          <w:sz w:val="20"/>
          <w:szCs w:val="20"/>
        </w:rPr>
        <w:t xml:space="preserve">"That number means a single primary will not hold the write path, which is why I am partitioning by ..."</w:t>
      </w:r>
    </w:p>
    <w:p>
      <w:pPr>
        <w:pBdr>
          <w:left w:val="single" w:color="1F3864" w:sz="18" w:space="8"/>
        </w:pBdr>
        <w:shd w:fill="F2F2F2" w:val="clear"/>
        <w:spacing w:after="80" w:before="80"/>
        <w:ind w:left="240"/>
      </w:pPr>
      <w:r>
        <w:rPr>
          <w:i/>
          <w:iCs/>
          <w:sz w:val="20"/>
          <w:szCs w:val="20"/>
        </w:rPr>
        <w:t xml:space="preserve">"That is the skeleton. I kept it shallow so we have time to go deep — would you prefer the fanout path or the exactly-once path?"</w:t>
      </w:r>
    </w:p>
    <w:p>
      <w:pPr>
        <w:pBdr>
          <w:left w:val="single" w:color="1F3864" w:sz="18" w:space="8"/>
        </w:pBdr>
        <w:shd w:fill="F2F2F2" w:val="clear"/>
        <w:spacing w:after="80" w:before="80"/>
        <w:ind w:left="240"/>
      </w:pPr>
      <w:r>
        <w:rPr>
          <w:i/>
          <w:iCs/>
          <w:sz w:val="20"/>
          <w:szCs w:val="20"/>
        </w:rPr>
        <w:t xml:space="preserve">"I am choosing X over Y because ... The cost is ... which is acceptable here because ... If ... changed, I would revisit."</w:t>
      </w:r>
    </w:p>
    <w:p>
      <w:pPr>
        <w:pBdr>
          <w:left w:val="single" w:color="1F3864" w:sz="18" w:space="8"/>
        </w:pBdr>
        <w:shd w:fill="F2F2F2" w:val="clear"/>
        <w:spacing w:after="80" w:before="80"/>
        <w:ind w:left="240"/>
      </w:pPr>
      <w:r>
        <w:rPr>
          <w:i/>
          <w:iCs/>
          <w:sz w:val="20"/>
          <w:szCs w:val="20"/>
        </w:rPr>
        <w:t xml:space="preserve">"The part I am least satisfied with is ... and with more time I would ..."</w:t>
      </w:r>
    </w:p>
    <w:p>
      <w:pPr>
        <w:pStyle w:val="Heading2"/>
        <w:spacing w:after="120" w:before="240"/>
      </w:pPr>
      <w:r>
        <w:t xml:space="preserve">Steering targets</w:t>
      </w:r>
    </w:p>
    <w:p>
      <w:pPr>
        <w:pStyle w:val="ListParagraph"/>
        <w:numPr>
          <w:ilvl w:val="0"/>
          <w:numId w:val="2"/>
        </w:numPr>
        <w:spacing w:after="40" w:before="40"/>
      </w:pPr>
      <w:r>
        <w:t xml:space="preserve">Pipeline, ingestion, or event-driven problem, steer to Kafka internals.</w:t>
      </w:r>
    </w:p>
    <w:p>
      <w:pPr>
        <w:pStyle w:val="ListParagraph"/>
        <w:numPr>
          <w:ilvl w:val="0"/>
          <w:numId w:val="2"/>
        </w:numPr>
        <w:spacing w:after="40" w:before="40"/>
      </w:pPr>
      <w:r>
        <w:t xml:space="preserve">Money, inventory, or booking problem, steer to idempotency and the ledger.</w:t>
      </w:r>
    </w:p>
    <w:p>
      <w:pPr>
        <w:pStyle w:val="ListParagraph"/>
        <w:numPr>
          <w:ilvl w:val="0"/>
          <w:numId w:val="2"/>
        </w:numPr>
        <w:spacing w:after="40" w:before="40"/>
      </w:pPr>
      <w:r>
        <w:t xml:space="preserve">Anything AI-adjacent, steer to retrieval and vector search.</w:t>
      </w:r>
    </w:p>
    <w:p>
      <w:pPr>
        <w:spacing w:after="60" w:before="60"/>
      </w:pPr>
      <w:r>
        <w:t xml:space="preserve"/>
      </w:r>
    </w:p>
    <w:p>
      <w:pPr>
        <w:spacing w:after="60" w:before="60"/>
      </w:pPr>
      <w:r>
        <w:rPr>
          <w:b/>
          <w:bCs/>
        </w:rPr>
        <w:t xml:space="preserve">The template is the same every time. </w:t>
      </w:r>
      <w:r>
        <w:t xml:space="preserve">Only the content changes. That is what lets you walk into a problem you have never seen and still look like someone who has done this before — because structurally, you have.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The HLD Answer Template · Companion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HLD Answer Template</dc:title>
  <dc:creator>Claude (Principal Engineer Persona)</dc:creator>
  <cp:lastModifiedBy>Un-named</cp:lastModifiedBy>
  <cp:revision>1</cp:revision>
  <dcterms:created xsi:type="dcterms:W3CDTF">2026-07-20T05:55:27.463Z</dcterms:created>
  <dcterms:modified xsi:type="dcterms:W3CDTF">2026-07-20T05:55:27.464Z</dcterms:modified>
</cp:coreProperties>
</file>

<file path=docProps/custom.xml><?xml version="1.0" encoding="utf-8"?>
<Properties xmlns="http://schemas.openxmlformats.org/officeDocument/2006/custom-properties" xmlns:vt="http://schemas.openxmlformats.org/officeDocument/2006/docPropsVTypes"/>
</file>