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Agentic Digital Twin for Predictive Maintenance</w:t>
      </w:r>
    </w:p>
    <w:p>
      <w:pPr>
        <w:spacing w:after="160"/>
        <w:jc w:val="center"/>
      </w:pPr>
      <w:r>
        <w:rPr>
          <w:b/>
          <w:sz w:val="24"/>
        </w:rPr>
        <w:t>in Manufacturing Using Machine Learning and Generative AI</w:t>
      </w:r>
    </w:p>
    <w:p>
      <w:pPr>
        <w:spacing w:after="200"/>
        <w:jc w:val="center"/>
      </w:pPr>
      <w:r>
        <w:rPr>
          <w:b w:val="0"/>
          <w:sz w:val="22"/>
        </w:rPr>
        <w:t>Md Abu Yusuf</w:t>
        <w:br/>
        <w:t>Vu Quynh Dinh</w:t>
        <w:br/>
        <w:t>CS 582 Machine Learning</w:t>
        <w:br/>
        <w:t>October 17, 2026</w:t>
      </w:r>
    </w:p>
    <w:p>
      <w:pPr>
        <w:pStyle w:val="Heading1"/>
      </w:pPr>
      <w:r>
        <w:t>Abstract</w:t>
      </w:r>
    </w:p>
    <w:p>
      <w:pPr>
        <w:jc w:val="both"/>
      </w:pPr>
      <w:r>
        <w:rPr>
          <w:b w:val="0"/>
        </w:rPr>
        <w:t>The project’s novelty is an agentic Manufacturing Copilot added to a machine-learning digital twin. Using the synthetic AI4I 2020 dataset, we compared Random Forest and XGBoost on a stratified 2,000-record test set. Random Forest achieved 91.67% precision, 80.88% recall, and 85.94% F1 for failure detection and serves as the active twin model. The copilot retrieves evaluated readings, runs hypothetical scenarios, and explains tool evidence. Across 60 evaluation tasks repeated three times, GPT-4.1 mini passed 145 of 180 strict execution trials (80.56%). All 30 requested numerical scenario outputs matched the reference. Ambiguous requests exposed frequent selection of unspecified settings. These findings establish an implemented workflow and execution benchmark. Answer quality and physical maintenance benefits require additional evaluation.</w:t>
      </w:r>
    </w:p>
    <w:p>
      <w:pPr>
        <w:pStyle w:val="Heading1"/>
      </w:pPr>
      <w:r>
        <w:t>1 Introduction</w:t>
      </w:r>
    </w:p>
    <w:p>
      <w:pPr>
        <w:pStyle w:val="Heading2"/>
      </w:pPr>
      <w:r>
        <w:t>Motivation and business purpose</w:t>
      </w:r>
    </w:p>
    <w:p>
      <w:pPr>
        <w:jc w:val="both"/>
      </w:pPr>
      <w:r>
        <w:rPr>
          <w:b w:val="0"/>
        </w:rPr>
        <w:t>Unplanned stoppages and unnecessary maintenance interventions motivate a system that helps engineers interpret machine readings before acting. The business purpose is to prioritize inspections, compare hypothetical operating changes, and communicate model evidence through a familiar conversational interface. Our prototype aims to reduce the effort needed to move from measurements to an informed maintenance discussion. Reduced downtime and maintenance cost are intended benefits; they have not been measured in this study.</w:t>
      </w:r>
    </w:p>
    <w:p>
      <w:pPr>
        <w:pStyle w:val="Heading2"/>
      </w:pPr>
      <w:r>
        <w:t>Related work</w:t>
      </w:r>
    </w:p>
    <w:p>
      <w:pPr>
        <w:jc w:val="both"/>
      </w:pPr>
      <w:r>
        <w:rPr>
          <w:b w:val="0"/>
        </w:rPr>
        <w:t>Chen et al. review machine learning in predictive-maintenance digital twins [1]. Luo et al. combine twin models and data for CNC tool-life prediction [2]. Matzka studies explainable models and interfaces [3]. These works motivate prediction and explanation in our project. We use Random Forest [4], XGBoost [5], and LangGraph for copilot orchestration [6].</w:t>
      </w:r>
    </w:p>
    <w:p>
      <w:pPr>
        <w:pStyle w:val="Heading2"/>
      </w:pPr>
      <w:r>
        <w:t>Project objectives and novelty</w:t>
      </w:r>
    </w:p>
    <w:p>
      <w:pPr>
        <w:jc w:val="both"/>
      </w:pPr>
      <w:r>
        <w:rPr>
          <w:b w:val="0"/>
        </w:rPr>
        <w:t>Our objectives are to classify machine failure, maintain an evaluated virtual state, support natural-language inspection and what-if questions, and evaluate both predictor performance and agent execution. The project novelty is adding an agentic Manufacturing Copilot to the predictive twin. It selects tools for machine state, history, scenarios, and saved model results, then explains the evidence. Random Forest calculates scores; the agent coordinates the workflow. This implemented integration and its evaluation are our contribution, without a claim of a new classifier or a worldwide first.</w:t>
      </w:r>
    </w:p>
    <w:p>
      <w:pPr>
        <w:jc w:val="both"/>
      </w:pPr>
      <w:r>
        <w:rPr>
          <w:b w:val="0"/>
        </w:rPr>
        <w:t>The scope is one virtual machine with manually entered readings and evaluated snapshots. Live sensors, remaining useful life estimation, and automatic physical control are outside the implementation. Model-based comparisons support maintenance discussion; they do not establish intervention effects.</w:t>
      </w:r>
    </w:p>
    <w:p>
      <w:pPr>
        <w:pStyle w:val="Heading1"/>
        <w:pageBreakBefore/>
      </w:pPr>
      <w:r>
        <w:t>2 Dataset and Data Preparation</w:t>
      </w:r>
    </w:p>
    <w:p>
      <w:pPr>
        <w:pStyle w:val="Heading2"/>
      </w:pPr>
      <w:r>
        <w:t>Dataset and exploratory data analysis</w:t>
      </w:r>
    </w:p>
    <w:p>
      <w:pPr>
        <w:jc w:val="both"/>
      </w:pPr>
      <w:r>
        <w:rPr>
          <w:b w:val="0"/>
        </w:rPr>
        <w:t>AI4I 2020 contains 10,000 synthetic records: 9,661 normal observations and 339 failures (3.39%), with no missing values [7]. Six inputs comprise product quality (L/M/H), air and process temperature (K), speed (rpm), torque (Nm), and tool wear (min). The binary target indicates machine failure.</w:t>
      </w:r>
    </w:p>
    <w:p>
      <w:pPr>
        <w:keepNext/>
        <w:spacing w:after="0"/>
        <w:jc w:val="center"/>
      </w:pPr>
      <w:r>
        <w:drawing>
          <wp:inline xmlns:a="http://schemas.openxmlformats.org/drawingml/2006/main" xmlns:pic="http://schemas.openxmlformats.org/drawingml/2006/picture">
            <wp:extent cx="4572000" cy="1396010"/>
            <wp:docPr id="1" name="Picture 1" descr="Failure rate by product quality: L 3.92 percent, M 2.77 percent, H 2.09 percent; each rate uses observations within its own quality group."/>
            <wp:cNvGraphicFramePr>
              <a:graphicFrameLocks noChangeAspect="1"/>
            </wp:cNvGraphicFramePr>
            <a:graphic>
              <a:graphicData uri="http://schemas.openxmlformats.org/drawingml/2006/picture">
                <pic:pic>
                  <pic:nvPicPr>
                    <pic:cNvPr id="0" name="quality_failure_graph.png"/>
                    <pic:cNvPicPr/>
                  </pic:nvPicPr>
                  <pic:blipFill>
                    <a:blip r:embed="rId12"/>
                    <a:stretch>
                      <a:fillRect/>
                    </a:stretch>
                  </pic:blipFill>
                  <pic:spPr>
                    <a:xfrm>
                      <a:off x="0" y="0"/>
                      <a:ext cx="4572000" cy="1396010"/>
                    </a:xfrm>
                    <a:prstGeom prst="rect"/>
                  </pic:spPr>
                </pic:pic>
              </a:graphicData>
            </a:graphic>
          </wp:inline>
        </w:drawing>
      </w:r>
    </w:p>
    <w:p>
      <w:pPr>
        <w:pStyle w:val="Caption"/>
        <w:keepNext w:val="0"/>
        <w:jc w:val="center"/>
      </w:pPr>
      <w:r>
        <w:t>Figure 1  EDA failure rate by product quality in the full dataset [7]</w:t>
      </w:r>
    </w:p>
    <w:p>
      <w:pPr>
        <w:jc w:val="both"/>
      </w:pPr>
      <w:r>
        <w:rPr>
          <w:b w:val="0"/>
        </w:rPr>
        <w:t>Figure 1 compares within-group failure rates: L 3.92%, M 2.77%, and H 2.09% [7]. L has the highest observed rate; this association does not establish causation. Other EDA uses class counts, boxplots, and torque-speed scatterplots. Failure records show higher median torque and wear, and lower speed. Torque-speed correlation is -0.875; outliers are retained. An always-normal baseline gives 96.61% accuracy and zero failure recall.</w:t>
      </w:r>
    </w:p>
    <w:p>
      <w:pPr>
        <w:pStyle w:val="Heading2"/>
      </w:pPr>
      <w:r>
        <w:t>Leakage control and one hot encoding</w:t>
      </w:r>
    </w:p>
    <w:p>
      <w:pPr>
        <w:jc w:val="both"/>
      </w:pPr>
      <w:r>
        <w:rPr>
          <w:b w:val="0"/>
        </w:rPr>
        <w:t>We exclude UDI, Product ID, and failure-mode labels TWF, HDF, PWF, OSF, and RNF to prevent identifier and target leakage. pandas.get_dummies one-hot encodes quality in fixed L/M/H order: L = (1, 0, 0), M = (0, 1, 0), H = (0, 0, 1). All three columns remain when a batch lacks a category; unknown levels are rejected. Training, prediction, and simulation share this encoding, which learns no test-data statistics. Five numeric inputs, six engineered features, and three indicators yield 14 model inputs.</w:t>
      </w:r>
    </w:p>
    <w:tbl>
      <w:tblPr>
        <w:tblW w:type="auto" w:w="0"/>
        <w:jc w:val="center"/>
        <w:tblLayout w:type="fixed"/>
        <w:tblLook w:firstColumn="1" w:firstRow="1" w:lastColumn="0" w:lastRow="0" w:noHBand="0" w:noVBand="1" w:val="04A0"/>
      </w:tblPr>
      <w:tblGrid>
        <w:gridCol w:w="3672"/>
        <w:gridCol w:w="6120"/>
      </w:tblGrid>
      <w:tr>
        <w:trPr>
          <w:cantSplit/>
          <w:tblHeader/>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1"/>
              </w:rPr>
              <w:t>Feature</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1"/>
              </w:rPr>
              <w:t>Definition</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Temperature difference</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Process temperature minus air temperature</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Temperature ratio</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Process temperature divided by air temperature</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Mechanical power</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Torque times angular speed, converted to kW</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Normalized torque</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Torque divided by speed in thousands of rpm</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Wear and torque interaction</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Tool wear multiplied by torque</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Wear and power interaction</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Tool wear multiplied by mechanical power</w:t>
            </w:r>
          </w:p>
        </w:tc>
      </w:tr>
      <w:tr>
        <w:trPr>
          <w:cantSplit/>
        </w:trP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1"/>
              </w:rPr>
              <w:t>Product quality indicators</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1"/>
              </w:rPr>
              <w:t>Separate binary indicators for L, M, and H</w:t>
            </w:r>
          </w:p>
        </w:tc>
      </w:tr>
    </w:tbl>
    <w:p>
      <w:pPr>
        <w:pStyle w:val="Caption"/>
        <w:keepNext w:val="0"/>
        <w:jc w:val="center"/>
      </w:pPr>
      <w:r>
        <w:t>Table 1  Target-independent engineered features</w:t>
      </w:r>
    </w:p>
    <w:p>
      <w:pPr>
        <w:jc w:val="both"/>
      </w:pPr>
      <w:r>
        <w:rPr>
          <w:b w:val="0"/>
        </w:rPr>
        <w:t>Power converts rpm to angular speed and watts to kW; feature formulas require no failure label.</w:t>
      </w:r>
    </w:p>
    <w:p>
      <w:pPr>
        <w:pStyle w:val="Heading2"/>
      </w:pPr>
      <w:r>
        <w:t>Training and test partition</w:t>
      </w:r>
    </w:p>
    <w:p>
      <w:pPr>
        <w:jc w:val="both"/>
      </w:pPr>
      <w:r>
        <w:rPr>
          <w:b w:val="0"/>
        </w:rPr>
        <w:t>An 80/20 stratified split (seed 42) gives 8,000 training records with 271 failures and 2,000 test records with 68 failures. Both models use identical partitions and feature order, class weighting, and no resampling or learned scaling. Full-dataset EDA preceded this experiment; results represent a fixed-split course benchmark, not independent external validation.</w:t>
      </w:r>
    </w:p>
    <w:p>
      <w:pPr>
        <w:pStyle w:val="Heading1"/>
        <w:pageBreakBefore/>
      </w:pPr>
      <w:r>
        <w:t>3 Predictor Training and Results</w:t>
      </w:r>
    </w:p>
    <w:p>
      <w:pPr>
        <w:jc w:val="both"/>
      </w:pPr>
      <w:r>
        <w:rPr>
          <w:b w:val="0"/>
        </w:rPr>
        <w:t>Random Forest uses 300 trees, balanced class weights, and random seed 42. XGBoost uses 300 trees, depth 4, learning rate 0.05, row and column sampling of 0.8, and histogram construction. Its positive-class weight is the training normal-to-failure ratio, 7,729 divided by 271, or 28.52. Both models use a fixed classification threshold of 0.5. The recorded experiment did not perform hyperparameter search or probability calibration.</w:t>
      </w:r>
    </w:p>
    <w:tbl>
      <w:tblPr>
        <w:tblW w:type="auto" w:w="0"/>
        <w:jc w:val="center"/>
        <w:tblLayout w:type="fixed"/>
        <w:tblLook w:firstColumn="1" w:firstRow="1" w:lastColumn="0" w:lastRow="0" w:noHBand="0" w:noVBand="1" w:val="04A0"/>
      </w:tblPr>
      <w:tblGrid>
        <w:gridCol w:w="4392"/>
        <w:gridCol w:w="2700"/>
        <w:gridCol w:w="2700"/>
      </w:tblGrid>
      <w:tr>
        <w:trPr>
          <w:cantSplit/>
          <w:tblHeader/>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1"/>
              </w:rPr>
              <w:t>Metric</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1"/>
              </w:rPr>
              <w:t>Random Forest</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1"/>
              </w:rPr>
              <w:t>XGBoost</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Accuracy</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99.10%</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98.50%</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Failure precision</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91.67%</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75.00%</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Failure recall</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80.88%</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83.82%</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Failure F1</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85.94%</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79.17%</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ROC AUC</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0.9686</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0.9821</w:t>
            </w:r>
          </w:p>
        </w:tc>
      </w:tr>
      <w:tr>
        <w:trPr>
          <w:cantSplit/>
        </w:trPr>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1"/>
              </w:rPr>
              <w:t>Average precision</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1"/>
              </w:rPr>
              <w:t>0.8606</w:t>
            </w:r>
          </w:p>
        </w:tc>
        <w:tc>
          <w:tcPr>
            <w:tcW w:type="dxa" w:w="2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1"/>
              </w:rPr>
              <w:t>0.8902</w:t>
            </w:r>
          </w:p>
        </w:tc>
      </w:tr>
    </w:tbl>
    <w:p>
      <w:pPr>
        <w:pStyle w:val="Caption"/>
        <w:keepNext w:val="0"/>
        <w:jc w:val="center"/>
      </w:pPr>
      <w:r>
        <w:t>Table 2  Saved predictive performance on 2,000 test records</w:t>
      </w:r>
    </w:p>
    <w:tbl>
      <w:tblPr>
        <w:tblW w:type="auto" w:w="0"/>
        <w:jc w:val="center"/>
        <w:tblLayout w:type="fixed"/>
        <w:tblLook w:firstColumn="1" w:firstRow="1" w:lastColumn="0" w:lastRow="0" w:noHBand="0" w:noVBand="1" w:val="04A0"/>
      </w:tblPr>
      <w:tblGrid>
        <w:gridCol w:w="2160"/>
        <w:gridCol w:w="1908"/>
        <w:gridCol w:w="1908"/>
        <w:gridCol w:w="1908"/>
        <w:gridCol w:w="1908"/>
      </w:tblGrid>
      <w:tr>
        <w:trPr>
          <w:cantSplit/>
          <w:tblHeader/>
        </w:trPr>
        <w:tc>
          <w:tcPr>
            <w:tcW w:type="dxa" w:w="2160"/>
            <w:vAlign w:val="center"/>
            <w:vMerge w:val="restart"/>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0"/>
              </w:rPr>
              <w:t>Actual class</w:t>
            </w:r>
          </w:p>
        </w:tc>
        <w:tc>
          <w:tcPr>
            <w:tcW w:type="dxa" w:w="3816"/>
            <w:vAlign w:val="center"/>
            <w:gridSpan w:val="2"/>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Random Forest</w:t>
            </w:r>
          </w:p>
        </w:tc>
        <w:tc>
          <w:tcPr>
            <w:tcW w:type="dxa" w:w="3816"/>
            <w:vAlign w:val="center"/>
            <w:gridSpan w:val="2"/>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XGBoost</w:t>
            </w:r>
          </w:p>
        </w:tc>
      </w:tr>
      <w:tr>
        <w:trPr>
          <w:cantSplit/>
        </w:trPr>
        <w:tc>
          <w:tcPr>
            <w:tcW w:type="dxa" w:w="2160"/>
            <w:vAlign w:val="center"/>
            <w:vMerge/>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Predicted normal</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Predicted failure</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Predicted normal</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0"/>
              </w:rPr>
              <w:t>Predicted failure</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Normal (1,932)</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0"/>
              </w:rPr>
              <w:t>1,927 (TN)</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0"/>
              </w:rPr>
              <w:t>5 (FP)</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0"/>
              </w:rPr>
              <w:t>1,913 (TN)</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0"/>
              </w:rPr>
              <w:t>19 (FP)</w:t>
            </w:r>
          </w:p>
        </w:tc>
      </w:tr>
      <w:tr>
        <w:trPr>
          <w:cantSplit/>
        </w:trP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0"/>
              </w:rPr>
              <w:t>Failure (68)</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0"/>
              </w:rPr>
              <w:t>13 (FN)</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0"/>
              </w:rPr>
              <w:t>55 (TP)</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0"/>
              </w:rPr>
              <w:t>11 (FN)</w:t>
            </w:r>
          </w:p>
        </w:tc>
        <w:tc>
          <w:tcPr>
            <w:tcW w:type="dxa" w:w="1908"/>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0"/>
              </w:rPr>
              <w:t>57 (TP)</w:t>
            </w:r>
          </w:p>
        </w:tc>
      </w:tr>
    </w:tbl>
    <w:p>
      <w:pPr>
        <w:pStyle w:val="Caption"/>
        <w:keepNext w:val="0"/>
        <w:jc w:val="center"/>
      </w:pPr>
      <w:r>
        <w:t>Table 3  Confusion matrices on the same 2,000 test records</w:t>
      </w:r>
    </w:p>
    <w:p>
      <w:pPr>
        <w:jc w:val="both"/>
      </w:pPr>
      <w:r>
        <w:rPr>
          <w:b w:val="0"/>
        </w:rPr>
        <w:t>Rows are observed classes and columns are predictions; failure is the positive class. TN and TP are correct normal and failure predictions. FP is a false alarm; FN is a missed failure. Precision measures how often failure alerts are correct, recall measures the fraction of failures detected, and F1 balances precision and recall.</w:t>
      </w:r>
    </w:p>
    <w:p>
      <w:pPr>
        <w:pStyle w:val="Heading2"/>
      </w:pPr>
      <w:r>
        <w:t>Why we selected Random Forest</w:t>
      </w:r>
    </w:p>
    <w:p>
      <w:pPr>
        <w:jc w:val="both"/>
      </w:pPr>
      <w:r>
        <w:rPr>
          <w:b w:val="0"/>
        </w:rPr>
        <w:t>For this prototype, we prioritize reliable failure alerts and a strong precision-recall balance. Random Forest has higher failure precision (91.67% versus 75.00%) and F1 (85.94% versus 79.17%) at the fixed threshold. Its accuracy is also higher (99.10% versus 98.50%), although accuracy is secondary because failures are rare. The confusion matrices show 5 false alarms for Random Forest versus 19 for XGBoost: 14 fewer false alarms, with 13 missed failures instead of 11. This observed trade-off supports our choice of Random Forest as the active twin model.</w:t>
      </w:r>
    </w:p>
    <w:p>
      <w:pPr>
        <w:jc w:val="both"/>
      </w:pPr>
      <w:r>
        <w:rPr>
          <w:b w:val="0"/>
        </w:rPr>
        <w:t>XGBoost detects 57 of 68 failures, compared with 55 for Random Forest, and has higher recall (83.82% versus 80.88%), ROC AUC (0.9821 versus 0.9686), and average precision (0.8902 versus 0.8606). The selection therefore reflects our prototype preference, not superiority on every metric or a proven maintenance-cost optimum. Maintenance costs and missed-failure costs were not measured; operational deployment would require validation of the model and threshold against those costs.</w:t>
      </w:r>
    </w:p>
    <w:p>
      <w:pPr>
        <w:jc w:val="both"/>
      </w:pPr>
      <w:r>
        <w:rPr>
          <w:b w:val="0"/>
        </w:rPr>
        <w:t>Both classifiers use a 0.5 threshold, equivalent to 50 on the displayed risk-score scale. The Failure label is a classifier decision, not independent confirmation of physical breakdown. Scores have not been calibrated as failure probabilities.</w:t>
      </w:r>
    </w:p>
    <w:p>
      <w:pPr>
        <w:pStyle w:val="Heading1"/>
        <w:pageBreakBefore/>
      </w:pPr>
      <w:r>
        <w:t>4 Digital Twin and Copilot Design</w:t>
      </w:r>
    </w:p>
    <w:p>
      <w:pPr>
        <w:jc w:val="both"/>
      </w:pPr>
      <w:r>
        <w:rPr>
          <w:b w:val="0"/>
        </w:rPr>
        <w:t>DigitalTwin validates six dashboard inputs and applies the training feature builder. Random Forest calculates a score; the twin stores inputs, classification, indicators, and evaluation time for the copilot.</w:t>
      </w:r>
    </w:p>
    <w:p>
      <w:pPr>
        <w:keepNext/>
        <w:spacing w:after="0"/>
        <w:jc w:val="center"/>
      </w:pPr>
      <w:r>
        <w:drawing>
          <wp:inline xmlns:a="http://schemas.openxmlformats.org/drawingml/2006/main" xmlns:pic="http://schemas.openxmlformats.org/drawingml/2006/picture">
            <wp:extent cx="6172200" cy="2406677"/>
            <wp:docPr id="2" name="Picture 2" descr="System architecture: machine inputs pass through the feature pipeline and Random Forest to the twin snapshot. The snapshot supplies context to the LLM, which calls project tools and uses their results before answeri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72200" cy="2406677"/>
                    </a:xfrm>
                    <a:prstGeom prst="rect"/>
                  </pic:spPr>
                </pic:pic>
              </a:graphicData>
            </a:graphic>
          </wp:inline>
        </w:drawing>
      </w:r>
    </w:p>
    <w:p>
      <w:pPr>
        <w:pStyle w:val="Caption"/>
        <w:keepNext w:val="0"/>
        <w:jc w:val="center"/>
      </w:pPr>
      <w:r>
        <w:t>Figure 2  System architecture and conversational execution loop</w:t>
      </w:r>
    </w:p>
    <w:p>
      <w:pPr>
        <w:jc w:val="both"/>
      </w:pPr>
      <w:r>
        <w:rPr>
          <w:b w:val="0"/>
        </w:rPr>
        <w:t>Figure 2 shows the prediction path and the conversational execution loop. The evaluated twin snapshot supplies current state to the graph, and tool results return to the LLM before it answers.</w:t>
      </w:r>
    </w:p>
    <w:p>
      <w:pPr>
        <w:jc w:val="both"/>
      </w:pPr>
      <w:r>
        <w:rPr>
          <w:b w:val="0"/>
        </w:rPr>
        <w:t>UpdateState validates and evaluates inputs; PredictFailure returns the prediction; CalculateHealth returns inverse risk. Simulate preserves the baseline; tool replacement changes only wear to zero.</w:t>
      </w:r>
    </w:p>
    <w:p>
      <w:pPr>
        <w:pStyle w:val="Heading2"/>
      </w:pPr>
      <w:r>
        <w:t>LangGraph nodes and available tools</w:t>
      </w:r>
    </w:p>
    <w:p>
      <w:pPr>
        <w:jc w:val="both"/>
      </w:pPr>
      <w:r>
        <w:rPr>
          <w:b w:val="0"/>
        </w:rPr>
        <w:t>Three nodes implement the graph: load_context supplies fresh twin context; agent uses GPT-4.1 mini to answer or request tools; tools executes the five functions in Table 4 and returns evidence.</w:t>
      </w:r>
    </w:p>
    <w:tbl>
      <w:tblPr>
        <w:tblW w:type="auto" w:w="0"/>
        <w:jc w:val="center"/>
        <w:tblLayout w:type="fixed"/>
        <w:tblLook w:firstColumn="1" w:firstRow="1" w:lastColumn="0" w:lastRow="0" w:noHBand="0" w:noVBand="1" w:val="04A0"/>
      </w:tblPr>
      <w:tblGrid>
        <w:gridCol w:w="3816"/>
        <w:gridCol w:w="5976"/>
      </w:tblGrid>
      <w:tr>
        <w:trPr>
          <w:cantSplit/>
          <w:tblHeader/>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0"/>
              </w:rPr>
              <w:t>Tool</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0"/>
              </w:rPr>
              <w:t>Evidence or operation</w:t>
            </w:r>
          </w:p>
        </w:tc>
      </w:tr>
      <w:tr>
        <w:trPr>
          <w:cantSplit/>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get_current_state</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Current evaluated inputs and prediction</w:t>
            </w:r>
          </w:p>
        </w:tc>
      </w:tr>
      <w:tr>
        <w:trPr>
          <w:cantSplit/>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get_machine_history</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Up to 20 session readings</w:t>
            </w:r>
          </w:p>
        </w:tc>
      </w:tr>
      <w:tr>
        <w:trPr>
          <w:cantSplit/>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simulate_scenario</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New comparison for requested input changes</w:t>
            </w:r>
          </w:p>
        </w:tc>
      </w:tr>
      <w:tr>
        <w:trPr>
          <w:cantSplit/>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get_latest_simulation</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0"/>
              </w:rPr>
              <w:t>Existing comparison for the current baseline</w:t>
            </w:r>
          </w:p>
        </w:tc>
      </w:tr>
      <w:tr>
        <w:trPr>
          <w:cantSplit/>
        </w:trP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0"/>
              </w:rPr>
              <w:t>get_model_results</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0"/>
              </w:rPr>
              <w:t>Saved Random Forest or XGBoost test metrics</w:t>
            </w:r>
          </w:p>
        </w:tc>
      </w:tr>
    </w:tbl>
    <w:p>
      <w:pPr>
        <w:pStyle w:val="Caption"/>
        <w:keepNext w:val="0"/>
        <w:jc w:val="center"/>
      </w:pPr>
      <w:r>
        <w:t>Table 4  Tools available to the copilot</w:t>
      </w:r>
    </w:p>
    <w:p>
      <w:pPr>
        <w:jc w:val="both"/>
      </w:pPr>
      <w:r>
        <w:rPr>
          <w:b w:val="0"/>
        </w:rPr>
        <w:t>Fresh context can answer current-risk questions directly. Execution allows six tool rounds and ten completed conversation turns; changing the LLM resets chat. Successful simulations appear in What-if simulation.</w:t>
      </w:r>
    </w:p>
    <w:p>
      <w:pPr>
        <w:pStyle w:val="Heading2"/>
        <w:pageBreakBefore/>
      </w:pPr>
      <w:r>
        <w:rPr>
          <w:sz w:val="26"/>
        </w:rPr>
        <w:t>Dashboard and Application Output</w:t>
      </w:r>
    </w:p>
    <w:p>
      <w:pPr>
        <w:spacing w:line="259" w:lineRule="auto"/>
        <w:jc w:val="both"/>
      </w:pPr>
      <w:r>
        <w:rPr>
          <w:b w:val="0"/>
          <w:sz w:val="24"/>
        </w:rPr>
        <w:t>Figure 3 shows the developed Streamlit application with the Machine state tab selected. This interface displays evaluated model outputs and gives operators access to simulations, saved model results, and the copilot.</w:t>
      </w:r>
    </w:p>
    <w:p>
      <w:pPr>
        <w:keepNext/>
        <w:spacing w:after="0"/>
        <w:jc w:val="center"/>
      </w:pPr>
      <w:r>
        <w:drawing>
          <wp:inline xmlns:a="http://schemas.openxmlformats.org/drawingml/2006/main" xmlns:pic="http://schemas.openxmlformats.org/drawingml/2006/picture">
            <wp:extent cx="6172200" cy="2933968"/>
            <wp:docPr id="3" name="Picture 3" descr="Manufacturing Digital Twin dashboard showing all four tabs, six machine inputs, and the evaluated prediction for the default example."/>
            <wp:cNvGraphicFramePr>
              <a:graphicFrameLocks noChangeAspect="1"/>
            </wp:cNvGraphicFramePr>
            <a:graphic>
              <a:graphicData uri="http://schemas.openxmlformats.org/drawingml/2006/picture">
                <pic:pic>
                  <pic:nvPicPr>
                    <pic:cNvPr id="0" name="dashboard_capture.png"/>
                    <pic:cNvPicPr/>
                  </pic:nvPicPr>
                  <pic:blipFill>
                    <a:blip r:embed="rId14"/>
                    <a:stretch>
                      <a:fillRect/>
                    </a:stretch>
                  </pic:blipFill>
                  <pic:spPr>
                    <a:xfrm>
                      <a:off x="0" y="0"/>
                      <a:ext cx="6172200" cy="2933968"/>
                    </a:xfrm>
                    <a:prstGeom prst="rect"/>
                  </pic:spPr>
                </pic:pic>
              </a:graphicData>
            </a:graphic>
          </wp:inline>
        </w:drawing>
      </w:r>
    </w:p>
    <w:p>
      <w:pPr>
        <w:pStyle w:val="Caption"/>
        <w:keepNext w:val="0"/>
        <w:jc w:val="center"/>
      </w:pPr>
      <w:r>
        <w:rPr>
          <w:sz w:val="21"/>
        </w:rPr>
        <w:t>Figure 3  Application dashboard with the Machine state tab selected</w:t>
      </w:r>
    </w:p>
    <w:p>
      <w:pPr>
        <w:pStyle w:val="Heading2"/>
      </w:pPr>
      <w:r>
        <w:rPr>
          <w:sz w:val="26"/>
        </w:rPr>
        <w:t>Dashboard tabs and operator workflow</w:t>
      </w:r>
    </w:p>
    <w:p>
      <w:pPr>
        <w:pStyle w:val="ListBullet"/>
        <w:spacing w:after="40" w:line="259" w:lineRule="auto"/>
      </w:pPr>
      <w:r>
        <w:rPr>
          <w:b/>
          <w:sz w:val="24"/>
        </w:rPr>
        <w:t xml:space="preserve">Machine state. </w:t>
      </w:r>
      <w:r>
        <w:rPr>
          <w:sz w:val="24"/>
        </w:rPr>
        <w:t>Enter six readings, predict failure, and update the evaluated state and session history.</w:t>
      </w:r>
    </w:p>
    <w:p>
      <w:pPr>
        <w:pStyle w:val="ListBullet"/>
        <w:spacing w:after="40" w:line="259" w:lineRule="auto"/>
      </w:pPr>
      <w:r>
        <w:rPr>
          <w:b/>
          <w:sz w:val="24"/>
        </w:rPr>
        <w:t xml:space="preserve">What-if simulation. </w:t>
      </w:r>
      <w:r>
        <w:rPr>
          <w:sz w:val="24"/>
        </w:rPr>
        <w:t>Change selected inputs and compare the scenario with a preserved baseline.</w:t>
      </w:r>
    </w:p>
    <w:p>
      <w:pPr>
        <w:pStyle w:val="ListBullet"/>
        <w:spacing w:after="40" w:line="259" w:lineRule="auto"/>
      </w:pPr>
      <w:r>
        <w:rPr>
          <w:b/>
          <w:sz w:val="24"/>
        </w:rPr>
        <w:t xml:space="preserve">Model results. </w:t>
      </w:r>
      <w:r>
        <w:rPr>
          <w:sz w:val="24"/>
        </w:rPr>
        <w:t>Review saved classifier metrics and confusion matrices for Random Forest and XGBoost.</w:t>
      </w:r>
    </w:p>
    <w:p>
      <w:pPr>
        <w:pStyle w:val="ListBullet"/>
        <w:spacing w:after="40" w:line="259" w:lineRule="auto"/>
      </w:pPr>
      <w:r>
        <w:rPr>
          <w:b/>
          <w:sz w:val="24"/>
        </w:rPr>
        <w:t xml:space="preserve">Copilot. </w:t>
      </w:r>
      <w:r>
        <w:rPr>
          <w:sz w:val="24"/>
        </w:rPr>
        <w:t>Select the LLM, ask questions, inspect evidence, and download chat. Record two states for history comparisons; the operator decides whether to act.</w:t>
      </w:r>
    </w:p>
    <w:p>
      <w:pPr>
        <w:pStyle w:val="Heading2"/>
      </w:pPr>
      <w:r>
        <w:rPr>
          <w:sz w:val="26"/>
        </w:rPr>
        <w:t>Recorded question and recommendation</w:t>
      </w:r>
    </w:p>
    <w:p>
      <w:pPr>
        <w:keepNext/>
        <w:spacing w:after="0"/>
        <w:jc w:val="center"/>
      </w:pPr>
      <w:r>
        <w:drawing>
          <wp:inline xmlns:a="http://schemas.openxmlformats.org/drawingml/2006/main" xmlns:pic="http://schemas.openxmlformats.org/drawingml/2006/picture">
            <wp:extent cx="6172200" cy="1288497"/>
            <wp:docPr id="4" name="Picture 4" descr="Recorded tool replacement question, tool evidence showing risk reduced by 18 points with both predictions Failure, and an exact excerpt recommending inspection and replacement if wear is excessive."/>
            <wp:cNvGraphicFramePr>
              <a:graphicFrameLocks noChangeAspect="1"/>
            </wp:cNvGraphicFramePr>
            <a:graphic>
              <a:graphicData uri="http://schemas.openxmlformats.org/drawingml/2006/picture">
                <pic:pic>
                  <pic:nvPicPr>
                    <pic:cNvPr id="0" name="copilot_question_answer.png"/>
                    <pic:cNvPicPr/>
                  </pic:nvPicPr>
                  <pic:blipFill>
                    <a:blip r:embed="rId15"/>
                    <a:stretch>
                      <a:fillRect/>
                    </a:stretch>
                  </pic:blipFill>
                  <pic:spPr>
                    <a:xfrm>
                      <a:off x="0" y="0"/>
                      <a:ext cx="6172200" cy="1288497"/>
                    </a:xfrm>
                    <a:prstGeom prst="rect"/>
                  </pic:spPr>
                </pic:pic>
              </a:graphicData>
            </a:graphic>
          </wp:inline>
        </w:drawing>
      </w:r>
    </w:p>
    <w:p>
      <w:pPr>
        <w:pStyle w:val="Caption"/>
        <w:keepNext w:val="0"/>
        <w:jc w:val="center"/>
      </w:pPr>
      <w:r>
        <w:rPr>
          <w:sz w:val="21"/>
        </w:rPr>
        <w:t>Figure 4  Recorded question and recommendation excerpt from trial 3</w:t>
      </w:r>
    </w:p>
    <w:p>
      <w:pPr>
        <w:spacing w:line="259" w:lineRule="auto"/>
        <w:jc w:val="both"/>
      </w:pPr>
      <w:r>
        <w:rPr>
          <w:b w:val="0"/>
          <w:sz w:val="24"/>
        </w:rPr>
        <w:t>Case EVAL-what_if-01 held other inputs fixed. All repeats passed six checks (3.07, 2.93, 2.64 s). This advice does not establish a physical benefit.</w:t>
      </w:r>
    </w:p>
    <w:p>
      <w:pPr>
        <w:pStyle w:val="Heading1"/>
        <w:pageBreakBefore/>
      </w:pPr>
      <w:r>
        <w:t>5 Copilot Evaluation and Results</w:t>
      </w:r>
    </w:p>
    <w:p>
      <w:pPr>
        <w:pStyle w:val="Heading2"/>
      </w:pPr>
      <w:r>
        <w:t>Copilot evaluation protocol</w:t>
      </w:r>
    </w:p>
    <w:p>
      <w:pPr>
        <w:jc w:val="both"/>
      </w:pPr>
      <w:r>
        <w:rPr>
          <w:b w:val="0"/>
        </w:rPr>
        <w:t>We froze 60 tasks in six categories, separate from 12 development tasks. Distinct states from the ML test partition cover failures, low-score normal records, and records near the threshold. Labels select coverage and never enter prompts. Three repeats with a fresh twin and conversation yield 180 task-trials and 210 turns including history warm-ups. We recorded the gpt-4.1-mini alias, transcripts, tool evidence, checks, and timing.</w:t>
      </w:r>
    </w:p>
    <w:p>
      <w:pPr>
        <w:jc w:val="both"/>
      </w:pPr>
      <w:r>
        <w:rPr>
          <w:b w:val="0"/>
        </w:rPr>
        <w:t>Direct twin calls and saved metadata provide references. Checks require a nonempty answer, fresh context, preserved baseline, required tools and exact arguments, no unrequested successful simulation, and matching scenario outputs. Every turn must pass. Verifiable outcomes and repeats follow the motivation of tau-bench [8]; our tasks and checks are project-specific.</w:t>
      </w:r>
    </w:p>
    <w:p>
      <w:pPr>
        <w:pStyle w:val="Heading2"/>
      </w:pPr>
      <w:r>
        <w:t>Evaluation results and interpretation</w:t>
      </w:r>
    </w:p>
    <w:tbl>
      <w:tblPr>
        <w:tblW w:type="auto" w:w="0"/>
        <w:jc w:val="center"/>
        <w:tblLayout w:type="fixed"/>
        <w:tblLook w:firstColumn="1" w:firstRow="1" w:lastColumn="0" w:lastRow="0" w:noHBand="0" w:noVBand="1" w:val="04A0"/>
      </w:tblPr>
      <w:tblGrid>
        <w:gridCol w:w="5256"/>
        <w:gridCol w:w="2376"/>
        <w:gridCol w:w="2160"/>
      </w:tblGrid>
      <w:tr>
        <w:trPr>
          <w:cantSplit/>
          <w:tblHeader/>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left"/>
            </w:pPr>
            <w:r>
              <w:rPr>
                <w:b/>
                <w:sz w:val="21"/>
              </w:rPr>
              <w:t>Task category</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1"/>
              </w:rPr>
              <w:t>Passed / trials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shd w:fill="EAF0F6"/>
          </w:tcPr>
          <w:p>
            <w:pPr>
              <w:spacing w:before="20" w:after="20" w:line="240" w:lineRule="auto"/>
              <w:jc w:val="center"/>
            </w:pPr>
            <w:r>
              <w:rPr>
                <w:b/>
                <w:sz w:val="21"/>
              </w:rPr>
              <w:t>Pass rate</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Current-state explanation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30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100.00%</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What-if simulation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20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66.67%</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History and follow-ups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28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93.33%</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Model metric retrieval</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30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100.00%</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Ambiguous or invalid requests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10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33.33%</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left"/>
            </w:pPr>
            <w:r>
              <w:rPr>
                <w:b w:val="0"/>
                <w:sz w:val="21"/>
              </w:rPr>
              <w:t>Unsupported requests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27 / 30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spacing w:before="20" w:after="20" w:line="240" w:lineRule="auto"/>
              <w:jc w:val="center"/>
            </w:pPr>
            <w:r>
              <w:rPr>
                <w:b w:val="0"/>
                <w:sz w:val="21"/>
              </w:rPr>
              <w:t>90.00%</w:t>
            </w:r>
          </w:p>
        </w:tc>
      </w:tr>
      <w:tr>
        <w:trPr>
          <w:cantSplit/>
        </w:trPr>
        <w:tc>
          <w:tcPr>
            <w:tcW w:type="dxa" w:w="525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left"/>
            </w:pPr>
            <w:r>
              <w:rPr>
                <w:b w:val="0"/>
                <w:sz w:val="21"/>
              </w:rPr>
              <w:t>Overall</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1"/>
              </w:rPr>
              <w:t>145 / 180</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bottom w:w="55" w:type="dxa"/>
              <w:left w:w="85" w:type="dxa"/>
              <w:right w:w="85" w:type="dxa"/>
            </w:tcMar>
          </w:tcPr>
          <w:p>
            <w:pPr>
              <w:keepNext/>
              <w:spacing w:before="20" w:after="20" w:line="240" w:lineRule="auto"/>
              <w:jc w:val="center"/>
            </w:pPr>
            <w:r>
              <w:rPr>
                <w:b w:val="0"/>
                <w:sz w:val="21"/>
              </w:rPr>
              <w:t>80.56%</w:t>
            </w:r>
          </w:p>
        </w:tc>
      </w:tr>
    </w:tbl>
    <w:p>
      <w:pPr>
        <w:pStyle w:val="Caption"/>
        <w:keepNext w:val="0"/>
        <w:jc w:val="center"/>
      </w:pPr>
      <w:r>
        <w:t>Table 5  Strict automatic execution checks</w:t>
      </w:r>
    </w:p>
    <w:p>
      <w:pPr>
        <w:jc w:val="both"/>
      </w:pPr>
      <w:r>
        <w:rPr>
          <w:b w:val="0"/>
        </w:rPr>
        <w:t>No execution errors occurred. Mean response time was 2.14 seconds per turn, excluding initialization; 46 of 60 tasks (76.67%) passed all repeats. Resampling whole tasks with their three trials gives a descriptive 95% bootstrap interval of 70.56%-89.44% (10,000 resamples, seed 42), conditional on this stress-test suite.</w:t>
      </w:r>
    </w:p>
    <w:p>
      <w:pPr>
        <w:jc w:val="both"/>
      </w:pPr>
      <w:r>
        <w:rPr>
          <w:b w:val="0"/>
        </w:rPr>
        <w:t>All 30 requested numerical scenario outputs matched references. Strict flags comprise ten redundant-baseline-argument trials, two missing history-tool calls, twenty ambiguous or invalid trials needing clarification or correction, and three guarantee-request trials that simulated replacement while denying a guarantee. These execution checks do not measure hallucination rate or overall answer accuracy.</w:t>
      </w:r>
    </w:p>
    <w:p>
      <w:pPr>
        <w:pStyle w:val="Heading1"/>
        <w:pageBreakBefore/>
      </w:pPr>
      <w:r>
        <w:t>6 Setup Limitations and Conclusion</w:t>
      </w:r>
    </w:p>
    <w:p>
      <w:pPr>
        <w:pStyle w:val="Heading2"/>
      </w:pPr>
      <w:r>
        <w:t>Application setup and reproducibility</w:t>
      </w:r>
    </w:p>
    <w:p>
      <w:pPr>
        <w:jc w:val="both"/>
      </w:pPr>
      <w:r>
        <w:rPr>
          <w:b w:val="0"/>
        </w:rPr>
        <w:t>Install dependencies in a Python virtual environment and launch the dashboard from the project root. XGBoost requires OpenMP on macOS. Configure an OpenAI API key through dashboard settings or the documented environment/secrets mechanism. Local prediction and manual simulation work without an API key.</w:t>
      </w:r>
    </w:p>
    <w:p>
      <w:pPr>
        <w:spacing w:after="100" w:line="240" w:lineRule="auto"/>
      </w:pPr>
      <w:r>
        <w:rPr>
          <w:rFonts w:ascii="Courier New" w:hAnsi="Courier New"/>
          <w:sz w:val="18"/>
        </w:rPr>
        <w:t>python -m pip install -r requirements.txt</w:t>
      </w:r>
      <w:r>
        <w:rPr>
          <w:rFonts w:ascii="Courier New" w:hAnsi="Courier New"/>
          <w:sz w:val="18"/>
        </w:rPr>
        <w:br/>
        <w:t>python -m streamlit run app.py</w:t>
      </w:r>
      <w:r>
        <w:rPr>
          <w:rFonts w:ascii="Courier New" w:hAnsi="Courier New"/>
          <w:sz w:val="18"/>
        </w:rPr>
        <w:br/>
        <w:t>python -m src.evaluation.run --split evaluation --trials 3</w:t>
      </w:r>
    </w:p>
    <w:p>
      <w:pPr>
        <w:jc w:val="both"/>
      </w:pPr>
      <w:r>
        <w:rPr>
          <w:b w:val="0"/>
        </w:rPr>
        <w:t>The four tabs provide machine state, what-if simulation, model results, and copilot chat. Each evaluation saves transcripts, checks, timing, and a manifest in a new directory, preserving the GPT-4.1 mini baseline. Saved artifacts record feature order, parameters, hashes, and package versions.</w:t>
      </w:r>
    </w:p>
    <w:p>
      <w:pPr>
        <w:pStyle w:val="Heading2"/>
      </w:pPr>
      <w:r>
        <w:t>Limitations and future work</w:t>
      </w:r>
    </w:p>
    <w:p>
      <w:pPr>
        <w:jc w:val="both"/>
      </w:pPr>
      <w:r>
        <w:rPr>
          <w:b w:val="0"/>
        </w:rPr>
        <w:t>The data are synthetic, and the random split does not establish performance on future sensor streams or other machines. Scores are uncalibrated, and the health indicator subtracts risk from 100 rather than measuring condition independently. Simulated input changes estimate model sensitivity without a physical or causal guarantee. The system provides neither feature attribution nor remaining useful life. It also lacks maintenance-manual retrieval and automatic machine control.</w:t>
      </w:r>
    </w:p>
    <w:p>
      <w:pPr>
        <w:jc w:val="both"/>
      </w:pPr>
      <w:r>
        <w:rPr>
          <w:b w:val="0"/>
        </w:rPr>
        <w:t>The copilot suite balances categories for stress coverage and is not a representative workload sample. The run records a model alias rather than a pinned snapshot. Independent answer grading, a no-tools LLM comparison, and an operator study are still pending. Next work should enforce explicit scenario values and units, evaluate prompt/tool changes on development cases, calibrate scores on validation data, and collect a fresh final task set before claiming improvement.</w:t>
      </w:r>
    </w:p>
    <w:p>
      <w:pPr>
        <w:pStyle w:val="Heading2"/>
      </w:pPr>
      <w:r>
        <w:t>Conclusion</w:t>
      </w:r>
    </w:p>
    <w:p>
      <w:pPr>
        <w:jc w:val="both"/>
      </w:pPr>
      <w:r>
        <w:rPr>
          <w:b w:val="0"/>
        </w:rPr>
        <w:t>The project contributes an agentic Manufacturing Copilot layered on a predictive digital twin. Its novelty within this project is conversational access to machine evidence and model-based what-if comparisons through tool selection and execution. Random Forest achieved 85.94% failure F1, while GPT-4.1 mini passed 80.56% of strict execution trials. The main observed agent weakness was choosing settings for incomplete requests. These results support the prototype and its evaluation method, while leaving answer correctness and maintenance benefits for further study.</w:t>
      </w:r>
    </w:p>
    <w:p>
      <w:pPr>
        <w:pStyle w:val="Heading2"/>
      </w:pPr>
      <w:r>
        <w:t>References</w:t>
      </w:r>
    </w:p>
    <w:p>
      <w:pPr>
        <w:spacing w:after="60" w:line="240" w:lineRule="auto"/>
        <w:jc w:val="left"/>
      </w:pPr>
      <w:r>
        <w:rPr>
          <w:b w:val="0"/>
          <w:sz w:val="18"/>
        </w:rPr>
        <w:t>[1] C. Chen, H. Fu, Y. Zheng, F. Tao, and Y. Liu. The advance of digital twin for predictive maintenance: The role and function of machine learning. Journal of Manufacturing Systems 71, pp. 581-594, 2023. https://doi.org/10.1016/j.jmsy.2023.10.010.</w:t>
      </w:r>
    </w:p>
    <w:p>
      <w:pPr>
        <w:spacing w:after="60" w:line="240" w:lineRule="auto"/>
        <w:jc w:val="left"/>
      </w:pPr>
      <w:r>
        <w:rPr>
          <w:b w:val="0"/>
          <w:sz w:val="18"/>
        </w:rPr>
        <w:t>[2] W. Luo, T. Hu, Y. Ye, C. Zhang, and Y. Wei. A hybrid predictive maintenance approach for CNC machine tool driven by Digital Twin. Robotics and Computer-Integrated Manufacturing 65, 101974, 2020. https://doi.org/10.1016/j.rcim.2020.101974.</w:t>
      </w:r>
    </w:p>
    <w:p>
      <w:pPr>
        <w:spacing w:after="60" w:line="240" w:lineRule="auto"/>
        <w:jc w:val="left"/>
      </w:pPr>
      <w:r>
        <w:rPr>
          <w:b w:val="0"/>
          <w:sz w:val="18"/>
        </w:rPr>
        <w:t>[3] S. Matzka. Explainable Artificial Intelligence for Predictive Maintenance Applications. AI4I, pp. 69-74, 2020. https://doi.org/10.1109/AI4I49448.2020.00023.</w:t>
      </w:r>
    </w:p>
    <w:p>
      <w:pPr>
        <w:spacing w:after="60" w:line="240" w:lineRule="auto"/>
        <w:jc w:val="left"/>
      </w:pPr>
      <w:r>
        <w:rPr>
          <w:b w:val="0"/>
          <w:sz w:val="18"/>
        </w:rPr>
        <w:t>[4] L. Breiman. Random Forests. Machine Learning 45, pp. 5-32, 2001. https://doi.org/10.1023/A:1010933404324.</w:t>
      </w:r>
    </w:p>
    <w:p>
      <w:pPr>
        <w:spacing w:after="60" w:line="240" w:lineRule="auto"/>
        <w:jc w:val="left"/>
      </w:pPr>
      <w:r>
        <w:rPr>
          <w:b w:val="0"/>
          <w:sz w:val="18"/>
        </w:rPr>
        <w:t>[5] T. Chen and C. Guestrin. XGBoost: A Scalable Tree Boosting System. KDD, 2016. https://doi.org/10.1145/2939672.2939785.</w:t>
      </w:r>
    </w:p>
    <w:p>
      <w:pPr>
        <w:spacing w:after="60" w:line="240" w:lineRule="auto"/>
        <w:jc w:val="left"/>
      </w:pPr>
      <w:r>
        <w:rPr>
          <w:b w:val="0"/>
          <w:sz w:val="18"/>
        </w:rPr>
        <w:t>[6] LangChain. LangGraph overview. https://docs.langchain.com/oss/python/langgraph/overview. Accessed October 17, 2026.</w:t>
      </w:r>
    </w:p>
    <w:p>
      <w:pPr>
        <w:spacing w:after="60" w:line="240" w:lineRule="auto"/>
        <w:jc w:val="left"/>
      </w:pPr>
      <w:r>
        <w:rPr>
          <w:b w:val="0"/>
          <w:sz w:val="18"/>
        </w:rPr>
        <w:t>[7] UCI Machine Learning Repository. AI4I 2020 Predictive Maintenance Dataset, 2020. https://doi.org/10.24432/C5HS5C.</w:t>
      </w:r>
    </w:p>
    <w:p>
      <w:pPr>
        <w:spacing w:after="60" w:line="240" w:lineRule="auto"/>
        <w:jc w:val="left"/>
      </w:pPr>
      <w:r>
        <w:rPr>
          <w:b w:val="0"/>
          <w:sz w:val="18"/>
        </w:rPr>
        <w:t>[8] S. Yao, N. Shinn, P. Razavi, and K. Narasimhan. tau-bench: A Benchmark for Tool-Agent-User Interaction in Real-World Domains, 2024. https://arxiv.org/abs/2406.12045.</w:t>
      </w:r>
    </w:p>
    <w:sectPr w:rsidR="00FC693F" w:rsidRPr="0006063C" w:rsidSect="00034616">
      <w:footerReference w:type="default" r:id="rId9"/>
      <w:footerReference w:type="first" r:id="rId10"/>
      <w:headerReference w:type="default" r:id="rId11"/>
      <w:pgSz w:w="12240" w:h="15840"/>
      <w:pgMar w:top="1080" w:right="1224" w:bottom="1080"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7</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7</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CS 582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contextualSpacing/>
    </w:pPr>
    <w:rPr>
      <w:rFonts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libri" w:hAnsi="Calibri"/>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Digital Twin for Predictive Maintenance in Manufacturing</dc:title>
  <dc:subject>CS 582 Machine Learning project report</dc:subject>
  <dc:creator>Md Abu Yusuf; Vu Quynh Dinh</dc:creator>
  <cp:keywords>predictive maintenance, Random Forest, XGBoost, digital twin, LangGraph, copilot evaluation</cp:keywords>
  <dc:description>generated by python-docx</dc:description>
  <cp:lastModifiedBy>Md Abu Yusuf; Vu Quynh Dinh</cp:lastModifiedBy>
  <cp:revision>1</cp:revision>
  <dcterms:created xsi:type="dcterms:W3CDTF">2026-10-17T17:33:07Z</dcterms:created>
  <dcterms:modified xsi:type="dcterms:W3CDTF">2026-10-18T12:00:00Z</dcterms:modified>
  <cp:category/>
</cp:coreProperties>
</file>