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Interface Control Document (ICD)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Define the protocol contracts, common data format, error handling and versioning rules for communication between Line A, Line B, Line C and the central MetroFare service.</w:t>
      </w:r>
    </w:p>
    <w:p>
      <w:pPr>
        <w:pStyle w:val="Heading1"/>
      </w:pPr>
      <w:r>
        <w:t>1. Scope</w:t>
      </w:r>
    </w:p>
    <w:p>
      <w:r>
        <w:t>MetroFare provides a common automatic fare-collection layer for three independent metro operators. Each operator may use a different gate protocol. Operator-specific adapters isolate those differences from the MetroFare core.</w:t>
      </w:r>
    </w:p>
    <w:p>
      <w:pPr>
        <w:pStyle w:val="Heading1"/>
      </w:pPr>
      <w:r>
        <w:t>2. Interface Architecture</w:t>
      </w:r>
    </w:p>
    <w:p>
      <w:pPr>
        <w:pStyle w:val="ListBullet"/>
      </w:pPr>
      <w:r>
        <w:t>Line A Gates → Adapter A → MetroFare</w:t>
      </w:r>
    </w:p>
    <w:p>
      <w:pPr>
        <w:pStyle w:val="ListBullet"/>
      </w:pPr>
      <w:r>
        <w:t>Line B Gates → Adapter B → MetroFare</w:t>
      </w:r>
    </w:p>
    <w:p>
      <w:pPr>
        <w:pStyle w:val="ListBullet"/>
      </w:pPr>
      <w:r>
        <w:t>Line C Gates → Adapter C → MetroFare</w:t>
      </w:r>
    </w:p>
    <w:p>
      <w:pPr>
        <w:pStyle w:val="ListBullet"/>
      </w:pPr>
      <w:r>
        <w:t>MetroFare provides common Journey, Fare and Settlement services.</w:t>
      </w:r>
    </w:p>
    <w:p>
      <w:pPr>
        <w:pStyle w:val="ListBullet"/>
      </w:pPr>
      <w:r>
        <w:t>Each adapter terminates the operator-specific protocol and exposes the common MetroFare interface.</w:t>
      </w:r>
    </w:p>
    <w:p>
      <w:pPr>
        <w:pStyle w:val="Heading1"/>
      </w:pPr>
      <w:r>
        <w:t>3. Protocol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Transport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Secure request/response communication between operator adapter and MetroFare.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Message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Unique identifier for every transaction message; used for tracing and duplicate detection.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Card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Identifier of the MetroCard involved in the tap event.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Identifies the source operator.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Station/Gate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Identifies the gate generating the event.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 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TAP_IN or TAP_OUT.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at which the gate event occurred.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Protocol 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of the operator-to-adapter contract.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Acknowledgement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MetroFare returns an acknowledgement or an error response.</w:t>
            </w:r>
          </w:p>
        </w:tc>
      </w:tr>
    </w:tbl>
    <w:p/>
    <w:p>
      <w:pPr>
        <w:pStyle w:val="Heading1"/>
      </w:pPr>
      <w:r>
        <w:t>4. Common MetroFare Data Format</w:t>
      </w:r>
    </w:p>
    <w:p>
      <w:r>
        <w:t>Adapters convert operator-specific messages into a common logical structure before passing them to MetroFare.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messageId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MSG-000123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Trace and deduplicate a message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source operator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cardId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CARD-1024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passenger card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eventType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TAP_IN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transaction type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stationId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A-ST-05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station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gateId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A-G-02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Identify gate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timestamp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2026-10-05T10:15:00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Order and audit events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protocolVersion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Support controlled evolution</w:t>
            </w:r>
          </w:p>
        </w:tc>
      </w:tr>
    </w:tbl>
    <w:p/>
    <w:p>
      <w:pPr>
        <w:pStyle w:val="Heading1"/>
      </w:pPr>
      <w:r>
        <w:t>5.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Error Category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 message format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 message and log validation error.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Unknown operator/card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Reject or route to exception handling and record the reason.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message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create a second journey/fare transaction; return the existing transaction status.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Timeout/unreachable central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defined retry/offline fallback behavior and retain an auditable event.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Fare calculation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silently deduct balance; raise an error and create an exception record.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mismatch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Flag the transaction for reconciliation/dispute review.</w:t>
            </w:r>
          </w:p>
        </w:tc>
      </w:tr>
    </w:tbl>
    <w:p/>
    <w:p>
      <w:pPr>
        <w:pStyle w:val="Heading1"/>
      </w:pPr>
      <w:r>
        <w:t>6. Versioning Policy</w:t>
      </w:r>
    </w:p>
    <w:p>
      <w:pPr>
        <w:pStyle w:val="ListBullet"/>
      </w:pPr>
      <w:r>
        <w:t>Every interface message carries a protocol version.</w:t>
      </w:r>
    </w:p>
    <w:p>
      <w:pPr>
        <w:pStyle w:val="ListBullet"/>
      </w:pPr>
      <w:r>
        <w:t>Backward-compatible changes should use a minor version increment; breaking changes require a major version increment.</w:t>
      </w:r>
    </w:p>
    <w:p>
      <w:pPr>
        <w:pStyle w:val="ListBullet"/>
      </w:pPr>
      <w:r>
        <w:t>An adapter must explicitly declare the versions it supports.</w:t>
      </w:r>
    </w:p>
    <w:p>
      <w:pPr>
        <w:pStyle w:val="ListBullet"/>
      </w:pPr>
      <w:r>
        <w:t>Old and new versions should overlap during a controlled migration period.</w:t>
      </w:r>
    </w:p>
    <w:p>
      <w:pPr>
        <w:pStyle w:val="ListBullet"/>
      </w:pPr>
      <w:r>
        <w:t>A version change must be tested at the interface level before production-style acceptance.</w:t>
      </w:r>
    </w:p>
    <w:p>
      <w:pPr>
        <w:pStyle w:val="ListBullet"/>
      </w:pPr>
      <w:r>
        <w:t>Interface ownership remains with the Integration Lead for each operator interface.</w:t>
      </w:r>
    </w:p>
    <w:p>
      <w:pPr>
        <w:pStyle w:val="Heading1"/>
      </w:pPr>
      <w:r>
        <w:t>7. Interface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Primary Owner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Participants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 ↔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 +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B ↔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B +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C ↔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Integration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C +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Interface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Lead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operators + MetroFare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Daily reconciliation and dispute records</w:t>
            </w:r>
          </w:p>
        </w:tc>
      </w:tr>
    </w:tbl>
    <w:p/>
    <w:p>
      <w:pPr>
        <w:pStyle w:val="Heading1"/>
      </w:pPr>
      <w:r>
        <w:t>8. Acceptance Criteria</w:t>
      </w:r>
    </w:p>
    <w:p>
      <w:pPr>
        <w:pStyle w:val="ListBullet"/>
      </w:pPr>
      <w:r>
        <w:t>Valid operator messages are converted into the common MetroFare format.</w:t>
      </w:r>
    </w:p>
    <w:p>
      <w:pPr>
        <w:pStyle w:val="ListBullet"/>
      </w:pPr>
      <w:r>
        <w:t>Invalid messages are rejected and logged.</w:t>
      </w:r>
    </w:p>
    <w:p>
      <w:pPr>
        <w:pStyle w:val="ListBullet"/>
      </w:pPr>
      <w:r>
        <w:t>Duplicate messages do not cause duplicate fare deductions.</w:t>
      </w:r>
    </w:p>
    <w:p>
      <w:pPr>
        <w:pStyle w:val="ListBullet"/>
      </w:pPr>
      <w:r>
        <w:t>Tap-in and tap-out events can be correlated to one journey.</w:t>
      </w:r>
    </w:p>
    <w:p>
      <w:pPr>
        <w:pStyle w:val="ListBullet"/>
      </w:pPr>
      <w:r>
        <w:t>Interface version compatibility is verified during integration testing.</w:t>
      </w:r>
    </w:p>
    <w:p>
      <w:pPr>
        <w:pStyle w:val="ListBullet"/>
      </w:pPr>
      <w:r>
        <w:t>The design target for tap-to-open latency is below 300 ms at p99, with offline fallback when the central system is unreachable.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