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MetroFare — Project Plan</w:t>
      </w:r>
    </w:p>
    <w:p>
      <w:pPr>
        <w:jc w:val="center"/>
      </w:pPr>
      <w:r>
        <w:rPr>
          <w:i/>
          <w:sz w:val="20"/>
        </w:rPr>
        <w:t>MetroFare • Case Study 12</w:t>
      </w:r>
    </w:p>
    <w:p/>
    <w:p>
      <w:r>
        <w:t>Purpose: Provide a cross-organisation work breakdown, RACI and integration milestone schedule.</w:t>
      </w:r>
    </w:p>
    <w:p>
      <w:pPr>
        <w:pStyle w:val="Heading1"/>
      </w:pPr>
      <w:r>
        <w:t>1. Work Breakdown Structure (WBS)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WBS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Work Package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Key Deliverable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Requirements &amp; Interface Definition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ICD and agreed common interface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A Integration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Adapter A + MetroFare integration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3.0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B Integration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Adapter B + MetroFare integration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4.0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C Integration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Adapter C + MetroFare integration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5.0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Cross-Operator Journey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A-to-C journey test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6.0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Settlement &amp; Reconciliation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Settlement specification and reconciliation tests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7.0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System Testing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End-to-end test evidence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8.0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Acceptance &amp; Closure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Acceptance sign-off and final design pack</w:t>
            </w:r>
          </w:p>
        </w:tc>
      </w:tr>
    </w:tbl>
    <w:p/>
    <w:p>
      <w:pPr>
        <w:pStyle w:val="Heading1"/>
      </w:pPr>
      <w:r>
        <w:t>2.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168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MetroFare Lead</w:t>
            </w:r>
          </w:p>
        </w:tc>
        <w:tc>
          <w:tcPr>
            <w:tcW w:type="dxa" w:w="168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Operator Lead</w:t>
            </w:r>
          </w:p>
        </w:tc>
        <w:tc>
          <w:tcPr>
            <w:tcW w:type="dxa" w:w="168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Integration Lead</w:t>
            </w:r>
          </w:p>
        </w:tc>
        <w:tc>
          <w:tcPr>
            <w:tcW w:type="dxa" w:w="168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Settlement Lead</w:t>
            </w:r>
          </w:p>
        </w:tc>
        <w:tc>
          <w:tcPr>
            <w:tcW w:type="dxa" w:w="168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QA/Test Lead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Interface contract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Adapter implementation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A integration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B integration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C integration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Cross-operator journey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Settlement reconciliation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R/A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Acceptance testing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</w:tr>
    </w:tbl>
    <w:p/>
    <w:p>
      <w:r>
        <w:t>R = Responsible, A = Accountable, C = Consulted, I = Informed.</w:t>
      </w:r>
    </w:p>
    <w:p>
      <w:pPr>
        <w:pStyle w:val="Heading1"/>
      </w:pPr>
      <w:r>
        <w:t>3. Integration Milestone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Exit Condition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A + MetroFare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Tap events and acknowledgements work end-to-end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B + MetroFare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Tap events and acknowledgements work end-to-end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Operator C + MetroFare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Tap events and acknowledgements work end-to-end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A-to-C cross-operator journey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Tap-in, tap-out, fare and confirmation succeed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Full integration + settlement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Three operators integrated and reconciliation passes</w:t>
            </w:r>
          </w:p>
        </w:tc>
      </w:tr>
    </w:tbl>
    <w:p/>
    <w:p>
      <w:pPr>
        <w:pStyle w:val="Heading1"/>
      </w:pPr>
      <w:r>
        <w:t>4. Governance</w:t>
      </w:r>
    </w:p>
    <w:p>
      <w:pPr>
        <w:pStyle w:val="ListBullet"/>
      </w:pPr>
      <w:r>
        <w:t>Each interface has an identified owner.</w:t>
      </w:r>
    </w:p>
    <w:p>
      <w:pPr>
        <w:pStyle w:val="ListBullet"/>
      </w:pPr>
      <w:r>
        <w:t>Changes to an interface require impact assessment and version control.</w:t>
      </w:r>
    </w:p>
    <w:p>
      <w:pPr>
        <w:pStyle w:val="ListBullet"/>
      </w:pPr>
      <w:r>
        <w:t>Integration defects are tracked to the responsible team.</w:t>
      </w:r>
    </w:p>
    <w:p>
      <w:pPr>
        <w:pStyle w:val="ListBullet"/>
      </w:pPr>
      <w:r>
        <w:t>Settlement discrepancies are routed to the Settlement Lead.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