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MetroFare — Settlement Specification</w:t>
      </w:r>
    </w:p>
    <w:p>
      <w:pPr>
        <w:jc w:val="center"/>
      </w:pPr>
      <w:r>
        <w:rPr>
          <w:i/>
          <w:sz w:val="20"/>
        </w:rPr>
        <w:t>MetroFare • Case Study 12</w:t>
      </w:r>
    </w:p>
    <w:p/>
    <w:p>
      <w:r>
        <w:t>Purpose: Define the reconciliation approach, dispute procedure and audit trail for journeys involving multiple metro operators.</w:t>
      </w:r>
    </w:p>
    <w:p>
      <w:pPr>
        <w:pStyle w:val="Heading1"/>
      </w:pPr>
      <w:r>
        <w:t>1. Scope</w:t>
      </w:r>
    </w:p>
    <w:p>
      <w:r>
        <w:t>Settlement covers the reconciliation of completed journeys and the amounts attributable to the participating operators. The specification is designed for the academic MetroFare prototype and describes intended behavior.</w:t>
      </w:r>
    </w:p>
    <w:p>
      <w:pPr>
        <w:pStyle w:val="Heading1"/>
      </w:pPr>
      <w:r>
        <w:t>2. Settlement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Settlement 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Unique settlement/reconciliation record.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Journey 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Links settlement to the passenger journey.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Identifies participating operator.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Tap-in / Tap-out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Provides journey endpoints.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Fare Amount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Amount calculated for the journey.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Pending, Reconciled, Disputed or Resolved.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Provides audit chronology.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Message/Transaction IDs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Provides traceability to interface events.</w:t>
            </w:r>
          </w:p>
        </w:tc>
      </w:tr>
    </w:tbl>
    <w:p/>
    <w:p>
      <w:pPr>
        <w:pStyle w:val="Heading1"/>
      </w:pPr>
      <w:r>
        <w:t>3. Reconciliation Algorithm</w:t>
      </w:r>
    </w:p>
    <w:p>
      <w:pPr>
        <w:pStyle w:val="ListNumber"/>
      </w:pPr>
      <w:r>
        <w:t>Collect completed journey records from MetroFare for the reconciliation period.</w:t>
      </w:r>
    </w:p>
    <w:p>
      <w:pPr>
        <w:pStyle w:val="ListNumber"/>
      </w:pPr>
      <w:r>
        <w:t>Match each journey with its tap-in and tap-out events using Journey ID and transaction/message identifiers.</w:t>
      </w:r>
    </w:p>
    <w:p>
      <w:pPr>
        <w:pStyle w:val="ListNumber"/>
      </w:pPr>
      <w:r>
        <w:t>Verify that the fare amount and balance deduction are present exactly once.</w:t>
      </w:r>
    </w:p>
    <w:p>
      <w:pPr>
        <w:pStyle w:val="ListNumber"/>
      </w:pPr>
      <w:r>
        <w:t>Group records by participating operator.</w:t>
      </w:r>
    </w:p>
    <w:p>
      <w:pPr>
        <w:pStyle w:val="ListNumber"/>
      </w:pPr>
      <w:r>
        <w:t>Compare MetroFare settlement records with the operator-side records supplied for reconciliation.</w:t>
      </w:r>
    </w:p>
    <w:p>
      <w:pPr>
        <w:pStyle w:val="ListNumber"/>
      </w:pPr>
      <w:r>
        <w:t>Mark matching records as Reconciled.</w:t>
      </w:r>
    </w:p>
    <w:p>
      <w:pPr>
        <w:pStyle w:val="ListNumber"/>
      </w:pPr>
      <w:r>
        <w:t>Flag missing, duplicate, amount-mismatch or timing-mismatch records as Disputed.</w:t>
      </w:r>
    </w:p>
    <w:p>
      <w:pPr>
        <w:pStyle w:val="ListNumber"/>
      </w:pPr>
      <w:r>
        <w:t>Produce a reconciliation summary showing matched, disputed and unresolved records.</w:t>
      </w:r>
    </w:p>
    <w:p>
      <w:pPr>
        <w:pStyle w:val="Heading1"/>
      </w:pPr>
      <w:r>
        <w:t>4. Dispute Procedure</w:t>
      </w:r>
    </w:p>
    <w:p>
      <w:pPr>
        <w:pStyle w:val="ListNumber"/>
      </w:pPr>
      <w:r>
        <w:t>Create a dispute record with Journey ID, Settlement ID, message IDs and reason.</w:t>
      </w:r>
    </w:p>
    <w:p>
      <w:pPr>
        <w:pStyle w:val="ListNumber"/>
      </w:pPr>
      <w:r>
        <w:t>Identify whether the discrepancy originated in tap event transmission, adapter mapping, fare calculation or settlement data.</w:t>
      </w:r>
    </w:p>
    <w:p>
      <w:pPr>
        <w:pStyle w:val="ListNumber"/>
      </w:pPr>
      <w:r>
        <w:t>The Integration Lead investigates interface-related discrepancies.</w:t>
      </w:r>
    </w:p>
    <w:p>
      <w:pPr>
        <w:pStyle w:val="ListNumber"/>
      </w:pPr>
      <w:r>
        <w:t>The Settlement Lead investigates reconciliation and amount discrepancies.</w:t>
      </w:r>
    </w:p>
    <w:p>
      <w:pPr>
        <w:pStyle w:val="ListNumber"/>
      </w:pPr>
      <w:r>
        <w:t>Compare the audit trail and source events.</w:t>
      </w:r>
    </w:p>
    <w:p>
      <w:pPr>
        <w:pStyle w:val="ListNumber"/>
      </w:pPr>
      <w:r>
        <w:t>Agree the corrected settlement status and preserve the original evidence.</w:t>
      </w:r>
    </w:p>
    <w:p>
      <w:pPr>
        <w:pStyle w:val="ListNumber"/>
      </w:pPr>
      <w:r>
        <w:t>Close the dispute only after the correction is verified.</w:t>
      </w:r>
    </w:p>
    <w:p>
      <w:pPr>
        <w:pStyle w:val="Heading1"/>
      </w:pPr>
      <w:r>
        <w:t>5. Audit Trail Design</w:t>
      </w:r>
    </w:p>
    <w:p>
      <w:pPr>
        <w:pStyle w:val="ListBullet"/>
      </w:pPr>
      <w:r>
        <w:t>Every tap event should have a traceable message/transaction ID.</w:t>
      </w:r>
    </w:p>
    <w:p>
      <w:pPr>
        <w:pStyle w:val="ListBullet"/>
      </w:pPr>
      <w:r>
        <w:t>Record operator, card, station/gate, event type and timestamp.</w:t>
      </w:r>
    </w:p>
    <w:p>
      <w:pPr>
        <w:pStyle w:val="ListBullet"/>
      </w:pPr>
      <w:r>
        <w:t>Record adapter conversion/validation outcome.</w:t>
      </w:r>
    </w:p>
    <w:p>
      <w:pPr>
        <w:pStyle w:val="ListBullet"/>
      </w:pPr>
      <w:r>
        <w:t>Record fare calculation result and balance deduction result.</w:t>
      </w:r>
    </w:p>
    <w:p>
      <w:pPr>
        <w:pStyle w:val="ListBullet"/>
      </w:pPr>
      <w:r>
        <w:t>Record settlement status transitions and dispute actions.</w:t>
      </w:r>
    </w:p>
    <w:p>
      <w:pPr>
        <w:pStyle w:val="ListBullet"/>
      </w:pPr>
      <w:r>
        <w:t>Do not overwrite historical evidence; corrections should create an auditable follow-up record.</w:t>
      </w:r>
    </w:p>
    <w:p>
      <w:pPr>
        <w:pStyle w:val="Heading1"/>
      </w:pPr>
      <w:r>
        <w:t>6. Settlement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Journey exists but settlement has not completed reconciliation.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Reconciled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MetroFare and operator records match.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Disputed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mismatch has been detected and requires investigation.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Dispute has been investigated and an agreed outcome recorded.</w:t>
            </w:r>
          </w:p>
        </w:tc>
      </w:tr>
    </w:tbl>
    <w:p/>
    <w:p>
      <w:pPr>
        <w:pStyle w:val="Heading1"/>
      </w:pPr>
      <w:r>
        <w:t>7. Acceptance Criteria</w:t>
      </w:r>
    </w:p>
    <w:p>
      <w:pPr>
        <w:pStyle w:val="ListBullet"/>
      </w:pPr>
      <w:r>
        <w:t>Every completed cross-operator journey has a settlement record.</w:t>
      </w:r>
    </w:p>
    <w:p>
      <w:pPr>
        <w:pStyle w:val="ListBullet"/>
      </w:pPr>
      <w:r>
        <w:t>A valid fare is deducted only once.</w:t>
      </w:r>
    </w:p>
    <w:p>
      <w:pPr>
        <w:pStyle w:val="ListBullet"/>
      </w:pPr>
      <w:r>
        <w:t>Matching records reconcile successfully.</w:t>
      </w:r>
    </w:p>
    <w:p>
      <w:pPr>
        <w:pStyle w:val="ListBullet"/>
      </w:pPr>
      <w:r>
        <w:t>Mismatches create traceable dispute records.</w:t>
      </w:r>
    </w:p>
    <w:p>
      <w:pPr>
        <w:pStyle w:val="ListBullet"/>
      </w:pPr>
      <w:r>
        <w:t>Audit information is sufficient to reconstruct the transaction flow.</w:t>
      </w:r>
    </w:p>
    <w:p>
      <w:pPr>
        <w:pStyle w:val="ListBullet"/>
      </w:pPr>
      <w:r>
        <w:t>Settlement responsibilities are clearly assigned to the Settlement Lead.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