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5E63"/>
          <w:sz w:val="50"/>
        </w:rPr>
        <w:t>METROFARE</w:t>
      </w:r>
    </w:p>
    <w:p>
      <w:pPr>
        <w:jc w:val="center"/>
      </w:pPr>
      <w:r>
        <w:rPr>
          <w:i/>
          <w:color w:val="667579"/>
          <w:sz w:val="24"/>
        </w:rPr>
        <w:t>UML &amp; System Design Document</w:t>
      </w:r>
    </w:p>
    <w:p>
      <w:pPr>
        <w:jc w:val="center"/>
      </w:pPr>
      <w:r>
        <w:rPr>
          <w:b/>
          <w:color w:val="203438"/>
          <w:sz w:val="26"/>
        </w:rPr>
        <w:t>Case Study 12 • Automatic Fare Collection Across Three Operators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EF"/>
          </w:tcPr>
          <w:p>
            <w:r/>
            <w:r>
              <w:rPr>
                <w:b/>
                <w:color w:val="155E63"/>
                <w:sz w:val="18"/>
              </w:rPr>
              <w:t>Project Type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203438"/>
                <w:sz w:val="18"/>
              </w:rPr>
              <w:t>Software Engineering / UI Prototype</w:t>
            </w:r>
          </w:p>
        </w:tc>
      </w:tr>
      <w:tr>
        <w:tc>
          <w:tcPr>
            <w:tcW w:type="dxa" w:w="5184"/>
            <w:vAlign w:val="center"/>
            <w:shd w:fill="EAF2EF"/>
          </w:tcPr>
          <w:p>
            <w:r/>
            <w:r>
              <w:rPr>
                <w:b/>
                <w:color w:val="155E63"/>
                <w:sz w:val="18"/>
              </w:rPr>
              <w:t>Primary Focus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203438"/>
                <w:sz w:val="18"/>
              </w:rPr>
              <w:t>Cross-operator integration and interface ownership</w:t>
            </w:r>
          </w:p>
        </w:tc>
      </w:tr>
      <w:tr>
        <w:tc>
          <w:tcPr>
            <w:tcW w:type="dxa" w:w="5184"/>
            <w:vAlign w:val="center"/>
            <w:shd w:fill="EAF2EF"/>
          </w:tcPr>
          <w:p>
            <w:r/>
            <w:r>
              <w:rPr>
                <w:b/>
                <w:color w:val="155E63"/>
                <w:sz w:val="18"/>
              </w:rPr>
              <w:t>Operators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203438"/>
                <w:sz w:val="18"/>
              </w:rPr>
              <w:t>Line A • Line B • Line C</w:t>
            </w:r>
          </w:p>
        </w:tc>
      </w:tr>
      <w:tr>
        <w:tc>
          <w:tcPr>
            <w:tcW w:type="dxa" w:w="5184"/>
            <w:vAlign w:val="center"/>
            <w:shd w:fill="EAF2EF"/>
          </w:tcPr>
          <w:p>
            <w:r/>
            <w:r>
              <w:rPr>
                <w:b/>
                <w:color w:val="155E63"/>
                <w:sz w:val="18"/>
              </w:rPr>
              <w:t>Design Principle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203438"/>
                <w:sz w:val="18"/>
              </w:rPr>
              <w:t>Common MetroFare interface + operator-specific adapters</w:t>
            </w:r>
          </w:p>
        </w:tc>
      </w:tr>
    </w:tbl>
    <w:p>
      <w:r>
        <w:br w:type="page"/>
      </w:r>
    </w:p>
    <w:p>
      <w:pPr>
        <w:pStyle w:val="Heading1"/>
      </w:pPr>
      <w:r>
        <w:t>1. System Overview</w:t>
      </w:r>
    </w:p>
    <w:p>
      <w:r>
        <w:t>MetroFare provides a common automatic fare-collection layer for three independent metro operators. Each operator may use a different gate protocol and maintain its own records. The design isolates those differences behind adapters and provides a shared journey, fare, settlement and audit flow.</w:t>
      </w:r>
    </w:p>
    <w:p>
      <w:pPr>
        <w:pStyle w:val="Heading2"/>
      </w:pPr>
      <w:r>
        <w:t>1.1 Core Cross-Operator Journey</w:t>
      </w:r>
    </w:p>
    <w:p>
      <w:r>
        <w:t>Example: a commuter taps in on Line A and taps out on Line C using the same fare card.</w:t>
      </w:r>
    </w:p>
    <w:p>
      <w:pPr>
        <w:pStyle w:val="ListNumber"/>
      </w:pPr>
      <w:r>
        <w:t>1. Tap-in is received from Operator A.</w:t>
      </w:r>
    </w:p>
    <w:p>
      <w:pPr>
        <w:pStyle w:val="ListNumber"/>
      </w:pPr>
      <w:r>
        <w:t>2. Adapter A converts the operator protocol to the MetroFare format.</w:t>
      </w:r>
    </w:p>
    <w:p>
      <w:pPr>
        <w:pStyle w:val="ListNumber"/>
      </w:pPr>
      <w:r>
        <w:t>3. MetroFare records the journey.</w:t>
      </w:r>
    </w:p>
    <w:p>
      <w:pPr>
        <w:pStyle w:val="ListNumber"/>
      </w:pPr>
      <w:r>
        <w:t>4. At Line C, Adapter C converts the tap-out event.</w:t>
      </w:r>
    </w:p>
    <w:p>
      <w:pPr>
        <w:pStyle w:val="ListNumber"/>
      </w:pPr>
      <w:r>
        <w:t>5. MetroFare calculates and deducts the fare once.</w:t>
      </w:r>
    </w:p>
    <w:p>
      <w:pPr>
        <w:pStyle w:val="ListNumber"/>
      </w:pPr>
      <w:r>
        <w:t>6. The journey becomes part of the settlement ledger.</w:t>
      </w:r>
    </w:p>
    <w:p>
      <w:pPr>
        <w:pStyle w:val="Heading1"/>
      </w:pPr>
      <w:r>
        <w:t>2. Use 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742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42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579"/>
          <w:sz w:val="18"/>
        </w:rPr>
        <w:t>Figure 1 — MetroFare use cases</w:t>
      </w:r>
    </w:p>
    <w:p>
      <w:r>
        <w:t>The use-case view identifies the passenger, operators and administrator as the main actors. The key user-facing actions are tap-in, tap-out, journey tracking and settlement/reconciliation.</w:t>
      </w:r>
    </w:p>
    <w:p>
      <w:pPr>
        <w:pStyle w:val="Heading1"/>
      </w:pPr>
      <w:r>
        <w:t>3.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9549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54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579"/>
          <w:sz w:val="18"/>
        </w:rPr>
        <w:t>Figure 2 — Core MetroFare domain classes</w:t>
      </w:r>
    </w:p>
    <w:p>
      <w:r>
        <w:t>The class view captures the core information handled by the system. MetroCard belongs to a passenger, Journey records the trip, Fare represents the calculated charge, Operator identifies the participating organisation, and Settlement represents the reconciliation record.</w:t>
      </w:r>
    </w:p>
    <w:p>
      <w:pPr>
        <w:pStyle w:val="Heading1"/>
      </w:pPr>
      <w:r>
        <w:t>4. Activity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68955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c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895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579"/>
          <w:sz w:val="18"/>
        </w:rPr>
        <w:t>Figure 3 — Fare transaction activity flow</w:t>
      </w:r>
    </w:p>
    <w:p>
      <w:r>
        <w:t>The activity flow validates the card before recording a journey. Invalid transactions are rejected and logged. Valid transactions proceed through fare calculation, balance deduction and settlement creation.</w:t>
      </w:r>
    </w:p>
    <w:p>
      <w:pPr>
        <w:pStyle w:val="Heading1"/>
      </w:pPr>
      <w:r>
        <w:t>5. Cross-Operator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5603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60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579"/>
          <w:sz w:val="18"/>
        </w:rPr>
        <w:t>Figure 4 — Example Line A to Line C journey</w:t>
      </w:r>
    </w:p>
    <w:p>
      <w:r>
        <w:t>This is the most important UML view for the case study because the historical failure was caused by weak interface testing. The sequence explicitly shows the hand-offs between a gate, an adapter and the central MetroFare service.</w:t>
      </w:r>
    </w:p>
    <w:p>
      <w:pPr>
        <w:pStyle w:val="Heading1"/>
      </w:pPr>
      <w:r>
        <w:t>6. Deployment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9549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plo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54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579"/>
          <w:sz w:val="18"/>
        </w:rPr>
        <w:t>Figure 5 — Logical deployment view</w:t>
      </w:r>
    </w:p>
    <w:p>
      <w:r>
        <w:t>The deployment view separates operator-side gate infrastructure from the central MetroFare services. In a production implementation, each operator's protocol would terminate at its adapter rather than leaking into the core system.</w:t>
      </w:r>
    </w:p>
    <w:p>
      <w:pPr>
        <w:pStyle w:val="Heading1"/>
      </w:pPr>
      <w:r>
        <w:t>7. High-Level Design (HLD)</w:t>
      </w:r>
    </w:p>
    <w:p>
      <w:r>
        <w:t>The HLD describes the major components and their relationships:</w:t>
      </w:r>
    </w:p>
    <w:p>
      <w:pPr>
        <w:pStyle w:val="ListBullet"/>
      </w:pPr>
      <w:r>
        <w:t>Operator A gates → Adapter A → MetroFare</w:t>
      </w:r>
    </w:p>
    <w:p>
      <w:pPr>
        <w:pStyle w:val="ListBullet"/>
      </w:pPr>
      <w:r>
        <w:t>Operator B gates → Adapter B → MetroFare</w:t>
      </w:r>
    </w:p>
    <w:p>
      <w:pPr>
        <w:pStyle w:val="ListBullet"/>
      </w:pPr>
      <w:r>
        <w:t>Operator C gates → Adapter C → MetroFare</w:t>
      </w:r>
    </w:p>
    <w:p>
      <w:pPr>
        <w:pStyle w:val="ListBullet"/>
      </w:pPr>
      <w:r>
        <w:t>MetroFare → Journey/Fare/Settlement services</w:t>
      </w:r>
    </w:p>
    <w:p>
      <w:pPr>
        <w:pStyle w:val="ListBullet"/>
      </w:pPr>
      <w:r>
        <w:t>Shared interface specification governs all three adapters</w:t>
      </w:r>
    </w:p>
    <w:p>
      <w:pPr>
        <w:pStyle w:val="Heading1"/>
      </w:pPr>
      <w:r>
        <w:t>8. Low-Level Design (LLD)</w:t>
      </w:r>
    </w:p>
    <w:p>
      <w:r>
        <w:t>The LLD explains the internal responsibility of each adapter and service. A typical adapter contains:</w:t>
      </w:r>
    </w:p>
    <w:p>
      <w:pPr>
        <w:pStyle w:val="ListBullet"/>
      </w:pPr>
      <w:r>
        <w:t>Protocol parser / message decoder</w:t>
      </w:r>
    </w:p>
    <w:p>
      <w:pPr>
        <w:pStyle w:val="ListBullet"/>
      </w:pPr>
      <w:r>
        <w:t>Message validation</w:t>
      </w:r>
    </w:p>
    <w:p>
      <w:pPr>
        <w:pStyle w:val="ListBullet"/>
      </w:pPr>
      <w:r>
        <w:t>Operator-to-common data mapping</w:t>
      </w:r>
    </w:p>
    <w:p>
      <w:pPr>
        <w:pStyle w:val="ListBullet"/>
      </w:pPr>
      <w:r>
        <w:t>Error translation</w:t>
      </w:r>
    </w:p>
    <w:p>
      <w:pPr>
        <w:pStyle w:val="ListBullet"/>
      </w:pPr>
      <w:r>
        <w:t>Common MetroFare API handler</w:t>
      </w:r>
    </w:p>
    <w:p>
      <w:pPr>
        <w:pStyle w:val="Heading1"/>
      </w:pPr>
      <w:r>
        <w:t>9. Interface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55E63"/>
          </w:tcPr>
          <w:p>
            <w:r/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2592"/>
            <w:vAlign w:val="center"/>
            <w:shd w:fill="155E63"/>
          </w:tcPr>
          <w:p>
            <w:r/>
            <w:r>
              <w:rPr>
                <w:b/>
                <w:color w:val="FFFFFF"/>
                <w:sz w:val="18"/>
              </w:rPr>
              <w:t>Primary Owner</w:t>
            </w:r>
          </w:p>
        </w:tc>
        <w:tc>
          <w:tcPr>
            <w:tcW w:type="dxa" w:w="2592"/>
            <w:vAlign w:val="center"/>
            <w:shd w:fill="155E63"/>
          </w:tcPr>
          <w:p>
            <w:r/>
            <w:r>
              <w:rPr>
                <w:b/>
                <w:color w:val="FFFFFF"/>
                <w:sz w:val="18"/>
              </w:rPr>
              <w:t>Participants</w:t>
            </w:r>
          </w:p>
        </w:tc>
        <w:tc>
          <w:tcPr>
            <w:tcW w:type="dxa" w:w="2592"/>
            <w:vAlign w:val="center"/>
            <w:shd w:fill="155E63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203438"/>
                <w:sz w:val="17"/>
              </w:rPr>
              <w:t>Operator A ↔ MetroFare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203438"/>
                <w:sz w:val="17"/>
              </w:rPr>
              <w:t>MetroFare Integration Lead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203438"/>
                <w:sz w:val="17"/>
              </w:rPr>
              <w:t>Operator A + MetroFare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203438"/>
                <w:sz w:val="17"/>
              </w:rPr>
              <w:t>Tap events and acknowledgements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203438"/>
                <w:sz w:val="17"/>
              </w:rPr>
              <w:t>Operator B ↔ MetroFare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203438"/>
                <w:sz w:val="17"/>
              </w:rPr>
              <w:t>MetroFare Integration Lead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203438"/>
                <w:sz w:val="17"/>
              </w:rPr>
              <w:t>Operator B + MetroFare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203438"/>
                <w:sz w:val="17"/>
              </w:rPr>
              <w:t>Tap events and acknowledgements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203438"/>
                <w:sz w:val="17"/>
              </w:rPr>
              <w:t>Operator C ↔ MetroFare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203438"/>
                <w:sz w:val="17"/>
              </w:rPr>
              <w:t>MetroFare Integration Lead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203438"/>
                <w:sz w:val="17"/>
              </w:rPr>
              <w:t>Operator C + MetroFare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203438"/>
                <w:sz w:val="17"/>
              </w:rPr>
              <w:t>Tap events and acknowledgements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203438"/>
                <w:sz w:val="17"/>
              </w:rPr>
              <w:t>Settlement Interface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203438"/>
                <w:sz w:val="17"/>
              </w:rPr>
              <w:t>Settlement Lead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203438"/>
                <w:sz w:val="17"/>
              </w:rPr>
              <w:t>All operators + MetroFare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203438"/>
                <w:sz w:val="17"/>
              </w:rPr>
              <w:t>Daily reconciliation and dispute records</w:t>
            </w:r>
          </w:p>
        </w:tc>
      </w:tr>
    </w:tbl>
    <w:p>
      <w:pPr>
        <w:pStyle w:val="Heading1"/>
      </w:pPr>
      <w:r>
        <w:t>10. Integration Testing Focus</w:t>
      </w:r>
    </w:p>
    <w:p>
      <w:r>
        <w:t>The recommended approach is incremental integration with explicit interface milestones. It is designed specifically to prevent the historical failure mode: each operator proving its own component works while the interfaces fail.</w:t>
      </w:r>
    </w:p>
    <w:p>
      <w:pPr>
        <w:pStyle w:val="ListNumber"/>
      </w:pPr>
      <w:r>
        <w:t>Milestone 1 — Operator A adapter + MetroFare</w:t>
      </w:r>
    </w:p>
    <w:p>
      <w:pPr>
        <w:pStyle w:val="ListNumber"/>
      </w:pPr>
      <w:r>
        <w:t>Milestone 2 — Operator B adapter + MetroFare</w:t>
      </w:r>
    </w:p>
    <w:p>
      <w:pPr>
        <w:pStyle w:val="ListNumber"/>
      </w:pPr>
      <w:r>
        <w:t>Milestone 3 — Operator C adapter + MetroFare</w:t>
      </w:r>
    </w:p>
    <w:p>
      <w:pPr>
        <w:pStyle w:val="ListNumber"/>
      </w:pPr>
      <w:r>
        <w:t>Milestone 4 — A-to-C cross-operator journey</w:t>
      </w:r>
    </w:p>
    <w:p>
      <w:pPr>
        <w:pStyle w:val="ListNumber"/>
      </w:pPr>
      <w:r>
        <w:t>Milestone 5 — Full three-operator integration and settlement reconciliation</w:t>
      </w:r>
    </w:p>
    <w:p>
      <w:pPr>
        <w:pStyle w:val="Heading1"/>
      </w:pPr>
      <w:r>
        <w:t>11. Key Non-Functional Requirement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55E63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5184"/>
            <w:vAlign w:val="center"/>
            <w:shd w:fill="155E63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color w:val="155E63"/>
                <w:sz w:val="18"/>
              </w:rPr>
              <w:t>Tap-to-open latency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203438"/>
                <w:sz w:val="18"/>
              </w:rPr>
              <w:t>&lt; 300 ms at p99; offline fallback when central system is unreachable</w:t>
            </w:r>
          </w:p>
        </w:tc>
      </w:tr>
    </w:tbl>
    <w:p>
      <w:pPr>
        <w:pStyle w:val="Heading1"/>
      </w:pPr>
      <w:r>
        <w:t>12. Viva Quick Answers</w:t>
      </w:r>
    </w:p>
    <w:p>
      <w:r>
        <w:rPr>
          <w:b/>
          <w:color w:val="155E63"/>
        </w:rPr>
        <w:t xml:space="preserve">What is UML? </w:t>
      </w:r>
      <w:r>
        <w:t>Unified Modeling Language; it visually represents the structure, behavior and interactions of a software system.</w:t>
      </w:r>
    </w:p>
    <w:p>
      <w:r>
        <w:rPr>
          <w:b/>
          <w:color w:val="155E63"/>
        </w:rPr>
        <w:t xml:space="preserve">Why use an adapter? </w:t>
      </w:r>
      <w:r>
        <w:t>Each operator has a different protocol. The adapter converts it to one common MetroFare interface and reduces coupling.</w:t>
      </w:r>
    </w:p>
    <w:p>
      <w:r>
        <w:rPr>
          <w:b/>
          <w:color w:val="155E63"/>
        </w:rPr>
        <w:t xml:space="preserve">Why is the sequence diagram important? </w:t>
      </w:r>
      <w:r>
        <w:t>It shows the exact order of messages in a cross-operator journey and makes interface ownership visible.</w:t>
      </w:r>
    </w:p>
    <w:p>
      <w:r>
        <w:rPr>
          <w:b/>
          <w:color w:val="155E63"/>
        </w:rPr>
        <w:t xml:space="preserve">HLD vs LLD? </w:t>
      </w:r>
      <w:r>
        <w:t>HLD shows the major components and connections. LLD explains the internal details of those components.</w:t>
      </w:r>
    </w:p>
    <w:p>
      <w:r>
        <w:rPr>
          <w:b/>
          <w:color w:val="155E63"/>
        </w:rPr>
        <w:t xml:space="preserve">Why incremental integration? </w:t>
      </w:r>
      <w:r>
        <w:t>Because the previous project failed when teams tested only their own components and not the interfaces between them.</w:t>
      </w:r>
    </w:p>
    <w:p>
      <w:pPr>
        <w:pStyle w:val="Heading1"/>
      </w:pPr>
      <w:r>
        <w:t>13. Scope Note</w:t>
      </w:r>
    </w:p>
    <w:p>
      <w:r>
        <w:t>This academic deliverable is a UI/prototype and design demonstration. It does not implement real metro hardware, real payment rails or production operator APIs. The diagrams describe the intended architecture and behavior.</w:t>
      </w:r>
    </w:p>
    <w:sectPr w:rsidR="00FC693F" w:rsidRPr="0006063C" w:rsidSect="00034616">
      <w:footerReference w:type="default" r:id="rId14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579"/>
        <w:sz w:val="16"/>
      </w:rPr>
      <w:t>MetroFare • UML &amp; System Design • Case Study 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34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5E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F8F5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