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0A1628" w:val="clear"/>
          </w:tcPr>
          <w:p>
            <w:pPr>
              <w:spacing w:before="4092"/>
            </w:pPr>
          </w:p>
          <w:p>
            <w:pPr>
              <w:pBdr>
                <w:bottom w:val="single" w:color="1DBF9F" w:sz="6" w:space="8"/>
              </w:pBdr>
              <w:spacing w:after="500"/>
              <w:ind w:left="1200" w:right="800"/>
            </w:pPr>
            <w:r>
              <w:rPr>
                <w:rFonts w:ascii="Calibri" w:eastAsia="SimHei"/>
                <w:color w:val="1DBF9F"/>
                <w:sz w:val="18"/>
                <w:szCs w:val="18"/>
              </w:rPr>
              <w:t xml:space="preserve">T  E  C  H  N  I  C  A  L     D  O  C  U  M  E  N  T  A  T  I  O  N</w:t>
            </w:r>
          </w:p>
          <w:p>
            <w:pPr>
              <w:spacing w:after="100" w:line="920" w:lineRule="atLeast"/>
              <w:ind w:left="1200"/>
            </w:pPr>
            <w:r>
              <w:rPr>
                <w:rFonts w:ascii="Arial" w:eastAsia="SimHei"/>
                <w:b/>
                <w:bCs/>
                <w:color w:val="FFFFFF"/>
                <w:sz w:val="80"/>
                <w:szCs w:val="80"/>
              </w:rPr>
              <w:t xml:space="preserve">TwinMOS Corporate</w:t>
            </w:r>
          </w:p>
          <w:p>
            <w:pPr>
              <w:spacing w:after="300" w:line="920" w:lineRule="atLeast"/>
              <w:ind w:left="1200"/>
            </w:pPr>
            <w:r>
              <w:rPr>
                <w:rFonts w:ascii="Arial" w:eastAsia="SimHei"/>
                <w:b/>
                <w:bCs/>
                <w:color w:val="FFFFFF"/>
                <w:sz w:val="80"/>
                <w:szCs w:val="80"/>
              </w:rPr>
              <w:t xml:space="preserve">Website Platform</w:t>
            </w:r>
          </w:p>
          <w:p>
            <w:pPr>
              <w:spacing w:after="800"/>
              <w:ind w:left="1200"/>
            </w:pPr>
            <w:r>
              <w:rPr>
                <w:rFonts w:ascii="Arial" w:eastAsia="Microsoft YaHei"/>
                <w:color w:val="C9D6E8"/>
                <w:sz w:val="24"/>
                <w:szCs w:val="24"/>
              </w:rPr>
              <w:t xml:space="preserve">Technical Documentation, CMS Administration &amp; Cloud Deployment Guide</w:t>
            </w:r>
          </w:p>
          <w:p>
            <w:pPr>
              <w:pBdr>
                <w:left w:val="single" w:color="1DBF9F" w:sz="8" w:space="12"/>
              </w:pBdr>
              <w:spacing w:after="80"/>
              <w:ind w:left="1400"/>
            </w:pPr>
            <w:r>
              <w:rPr>
                <w:rFonts w:ascii="Arial" w:eastAsia="Microsoft YaHei"/>
                <w:color w:val="9FB4CC"/>
                <w:sz w:val="24"/>
                <w:szCs w:val="24"/>
              </w:rPr>
              <w:t xml:space="preserve">Version 1.0 · October 2026</w:t>
            </w:r>
          </w:p>
          <w:p>
            <w:pPr>
              <w:pBdr>
                <w:left w:val="single" w:color="1DBF9F" w:sz="8" w:space="12"/>
              </w:pBdr>
              <w:spacing w:after="80"/>
              <w:ind w:left="1400"/>
            </w:pPr>
            <w:r>
              <w:rPr>
                <w:rFonts w:ascii="Arial" w:eastAsia="Microsoft YaHei"/>
                <w:color w:val="9FB4CC"/>
                <w:sz w:val="24"/>
                <w:szCs w:val="24"/>
              </w:rPr>
              <w:t xml:space="preserve">Audience: Webmasters &amp; Software Engineers</w:t>
            </w:r>
          </w:p>
          <w:p>
            <w:pPr>
              <w:pBdr>
                <w:left w:val="single" w:color="1DBF9F" w:sz="8" w:space="12"/>
              </w:pBdr>
              <w:spacing w:after="80"/>
              <w:ind w:left="1400"/>
            </w:pPr>
            <w:r>
              <w:rPr>
                <w:rFonts w:ascii="Arial" w:eastAsia="Microsoft YaHei"/>
                <w:color w:val="9FB4CC"/>
                <w:sz w:val="24"/>
                <w:szCs w:val="24"/>
              </w:rPr>
              <w:t xml:space="preserve">System version: API 0.3.0 · 28 public pages · 15 admin modules</w:t>
            </w:r>
          </w:p>
          <w:p>
            <w:pPr>
              <w:pBdr>
                <w:left w:val="single" w:color="1DBF9F" w:sz="8" w:space="12"/>
              </w:pBdr>
              <w:spacing w:after="80"/>
              <w:ind w:left="1400"/>
            </w:pPr>
            <w:r>
              <w:rPr>
                <w:rFonts w:ascii="Arial" w:eastAsia="Microsoft YaHei"/>
                <w:color w:val="9FB4CC"/>
                <w:sz w:val="24"/>
                <w:szCs w:val="24"/>
              </w:rPr>
              <w:t xml:space="preserve">Verified: 253 automated tests · 0 security-scan findings</w:t>
            </w:r>
          </w:p>
          <w:p>
            <w:pPr>
              <w:spacing w:before="4092"/>
            </w:pPr>
          </w:p>
          <w:p>
            <w:pPr>
              <w:pBdr>
                <w:top w:val="single" w:color="1DBF9F" w:sz="2" w:space="8"/>
              </w:pBdr>
              <w:spacing w:before="200"/>
              <w:ind w:left="1200" w:right="800"/>
            </w:pPr>
            <w:r>
              <w:rPr>
                <w:rFonts w:ascii="Arial"/>
                <w:color w:val="7A90A8"/>
                <w:sz w:val="16"/>
                <w:szCs w:val="16"/>
              </w:rPr>
              <w:t xml:space="preserve">TwinMOS Technologies · Internal</w:t>
            </w:r>
            <w:r>
              <w:t xml:space="preserve">                                        </w:t>
            </w:r>
            <w:r>
              <w:rPr>
                <w:rFonts w:ascii="Arial"/>
                <w:color w:val="7A90A8"/>
                <w:sz w:val="16"/>
                <w:szCs w:val="16"/>
              </w:rPr>
              <w:t xml:space="preserve">CONFIDENTIAL</w:t>
            </w:r>
          </w:p>
        </w:tc>
      </w:tr>
    </w:tbl>
    <w:p>
      <w:pPr>
        <w:sectPr>
          <w:pgSz w:w="11906" w:h="16838" w:orient="portrait"/>
          <w:pgMar w:top="0" w:right="0" w:bottom="0" w:left="0" w:header="708" w:footer="708" w:gutter="0"/>
          <w:pgNumType/>
          <w:docGrid w:linePitch="360"/>
        </w:sectPr>
      </w:pPr>
    </w:p>
    <w:p>
      <w:pPr>
        <w:spacing w:after="360" w:before="480"/>
        <w:jc w:val="center"/>
      </w:pPr>
      <w:r>
        <w:rPr>
          <w:rFonts w:ascii="Calibri" w:eastAsia="SimHei"/>
          <w:b/>
          <w:bCs/>
          <w:color w:val="0A1628"/>
          <w:sz w:val="32"/>
          <w:szCs w:val="32"/>
        </w:rPr>
        <w:t xml:space="preserve">Table of Contents</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Introduction</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Purpose and Audience</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1.2 System at a Glance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Document Conventions</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1.4 Related Repository Documents</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2. System Overview</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2.1 What the Platform Does</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2.2 The Public Website</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2.3 Key Public Features</w:t>
            </w:r>
            <w:r>
              <w:tab/>
            </w:r>
            <w:r>
              <w:fldChar w:fldCharType="begin"/>
            </w:r>
            <w:r>
              <w:instrText xml:space="preserve"> PAGEREF _Toc100008 \h </w:instrText>
            </w:r>
            <w:r>
              <w:fldChar w:fldCharType="separate"/>
            </w:r>
            <w:r>
              <w:t>4</w:t>
            </w:r>
            <w:r>
              <w:fldChar w:fldCharType="end"/>
            </w:r>
          </w:hyperlink>
        </w:p>
        <w:p>
          <w:pPr>
            <w:pStyle w:val="12"/>
            <w:ind w:left="720"/>
            <w:tabs>
              <w:tab w:val="right" w:leader="dot" w:pos="9026"/>
            </w:tabs>
            <w:spacing w:before="120" w:after="60"/>
          </w:pPr>
          <w:hyperlink w:anchor="_Toc100009" w:history="1">
            <w:r>
              <w:rPr>
                <w:rStyle w:val="Hyperlink"/>
              </w:rPr>
              <w:t>Product Catalog and Shop</w:t>
            </w:r>
            <w:r>
              <w:tab/>
            </w:r>
            <w:r>
              <w:fldChar w:fldCharType="begin"/>
            </w:r>
            <w:r>
              <w:instrText xml:space="preserve"> PAGEREF _Toc100009 \h </w:instrText>
            </w:r>
            <w:r>
              <w:fldChar w:fldCharType="separate"/>
            </w:r>
            <w:r>
              <w:t>4</w:t>
            </w:r>
            <w:r>
              <w:fldChar w:fldCharType="end"/>
            </w:r>
          </w:hyperlink>
        </w:p>
        <w:p>
          <w:pPr>
            <w:pStyle w:val="12"/>
            <w:ind w:left="720"/>
            <w:tabs>
              <w:tab w:val="right" w:leader="dot" w:pos="9026"/>
            </w:tabs>
            <w:spacing w:before="120" w:after="60"/>
          </w:pPr>
          <w:hyperlink w:anchor="_Toc100010" w:history="1">
            <w:r>
              <w:rPr>
                <w:rStyle w:val="Hyperlink"/>
              </w:rPr>
              <w:t>Product Detail with Warranty and Specifications</w:t>
            </w:r>
            <w:r>
              <w:tab/>
            </w:r>
            <w:r>
              <w:fldChar w:fldCharType="begin"/>
            </w:r>
            <w:r>
              <w:instrText xml:space="preserve"> PAGEREF _Toc100010 \h </w:instrText>
            </w:r>
            <w:r>
              <w:fldChar w:fldCharType="separate"/>
            </w:r>
            <w:r>
              <w:t>5</w:t>
            </w:r>
            <w:r>
              <w:fldChar w:fldCharType="end"/>
            </w:r>
          </w:hyperlink>
        </w:p>
        <w:p>
          <w:pPr>
            <w:pStyle w:val="12"/>
            <w:ind w:left="720"/>
            <w:tabs>
              <w:tab w:val="right" w:leader="dot" w:pos="9026"/>
            </w:tabs>
            <w:spacing w:before="120" w:after="60"/>
          </w:pPr>
          <w:hyperlink w:anchor="_Toc100011" w:history="1">
            <w:r>
              <w:rPr>
                <w:rStyle w:val="Hyperlink"/>
              </w:rPr>
              <w:t>Anti-Counterfeit Serial Verification (Warranty Check)</w:t>
            </w:r>
            <w:r>
              <w:tab/>
            </w:r>
            <w:r>
              <w:fldChar w:fldCharType="begin"/>
            </w:r>
            <w:r>
              <w:instrText xml:space="preserve"> PAGEREF _Toc100011 \h </w:instrText>
            </w:r>
            <w:r>
              <w:fldChar w:fldCharType="separate"/>
            </w:r>
            <w:r>
              <w:t>5</w:t>
            </w:r>
            <w:r>
              <w:fldChar w:fldCharType="end"/>
            </w:r>
          </w:hyperlink>
        </w:p>
        <w:p>
          <w:pPr>
            <w:pStyle w:val="12"/>
            <w:ind w:left="720"/>
            <w:tabs>
              <w:tab w:val="right" w:leader="dot" w:pos="9026"/>
            </w:tabs>
            <w:spacing w:before="120" w:after="60"/>
          </w:pPr>
          <w:hyperlink w:anchor="_Toc100012" w:history="1">
            <w:r>
              <w:rPr>
                <w:rStyle w:val="Hyperlink"/>
              </w:rPr>
              <w:t>Compatibility Finder</w:t>
            </w:r>
            <w:r>
              <w:tab/>
            </w:r>
            <w:r>
              <w:fldChar w:fldCharType="begin"/>
            </w:r>
            <w:r>
              <w:instrText xml:space="preserve"> PAGEREF _Toc100012 \h </w:instrText>
            </w:r>
            <w:r>
              <w:fldChar w:fldCharType="separate"/>
            </w:r>
            <w:r>
              <w:t>6</w:t>
            </w:r>
            <w:r>
              <w:fldChar w:fldCharType="end"/>
            </w:r>
          </w:hyperlink>
        </w:p>
        <w:p>
          <w:pPr>
            <w:pStyle w:val="12"/>
            <w:ind w:left="720"/>
            <w:tabs>
              <w:tab w:val="right" w:leader="dot" w:pos="9026"/>
            </w:tabs>
            <w:spacing w:before="120" w:after="60"/>
          </w:pPr>
          <w:hyperlink w:anchor="_Toc100013" w:history="1">
            <w:r>
              <w:rPr>
                <w:rStyle w:val="Hyperlink"/>
              </w:rPr>
              <w:t>Support, RMA and Forms</w:t>
            </w:r>
            <w:r>
              <w:tab/>
            </w:r>
            <w:r>
              <w:fldChar w:fldCharType="begin"/>
            </w:r>
            <w:r>
              <w:instrText xml:space="preserve"> PAGEREF _Toc100013 \h </w:instrText>
            </w:r>
            <w:r>
              <w:fldChar w:fldCharType="separate"/>
            </w:r>
            <w:r>
              <w:t>6</w:t>
            </w:r>
            <w:r>
              <w:fldChar w:fldCharType="end"/>
            </w:r>
          </w:hyperlink>
        </w:p>
        <w:p>
          <w:pPr>
            <w:pStyle w:val="12"/>
            <w:ind w:left="720"/>
            <w:tabs>
              <w:tab w:val="right" w:leader="dot" w:pos="9026"/>
            </w:tabs>
            <w:spacing w:before="120" w:after="60"/>
          </w:pPr>
          <w:hyperlink w:anchor="_Toc100014" w:history="1">
            <w:r>
              <w:rPr>
                <w:rStyle w:val="Hyperlink"/>
              </w:rPr>
              <w:t>Careers and Where to Buy</w:t>
            </w:r>
            <w:r>
              <w:tab/>
            </w:r>
            <w:r>
              <w:fldChar w:fldCharType="begin"/>
            </w:r>
            <w:r>
              <w:instrText xml:space="preserve"> PAGEREF _Toc100014 \h </w:instrText>
            </w:r>
            <w:r>
              <w:fldChar w:fldCharType="separate"/>
            </w:r>
            <w:r>
              <w:t>7</w:t>
            </w:r>
            <w:r>
              <w:fldChar w:fldCharType="end"/>
            </w:r>
          </w:hyperlink>
        </w:p>
        <w:p>
          <w:pPr>
            <w:pStyle w:val="9"/>
            <w:tabs>
              <w:tab w:val="right" w:leader="dot" w:pos="9026"/>
            </w:tabs>
            <w:spacing w:before="120" w:after="60"/>
          </w:pPr>
          <w:hyperlink w:anchor="_Toc100015" w:history="1">
            <w:r>
              <w:rPr>
                <w:rStyle w:val="Hyperlink"/>
              </w:rPr>
              <w:t>3. Technology Stack</w:t>
            </w:r>
            <w:r>
              <w:tab/>
            </w:r>
            <w:r>
              <w:fldChar w:fldCharType="begin"/>
            </w:r>
            <w:r>
              <w:instrText xml:space="preserve"> PAGEREF _Toc100015 \h </w:instrText>
            </w:r>
            <w:r>
              <w:fldChar w:fldCharType="separate"/>
            </w:r>
            <w:r>
              <w:t>8</w:t>
            </w:r>
            <w:r>
              <w:fldChar w:fldCharType="end"/>
            </w:r>
          </w:hyperlink>
        </w:p>
        <w:p>
          <w:pPr>
            <w:pStyle w:val="11"/>
            <w:ind w:left="360"/>
            <w:tabs>
              <w:tab w:val="right" w:leader="dot" w:pos="9026"/>
            </w:tabs>
            <w:spacing w:before="120" w:after="60"/>
          </w:pPr>
          <w:hyperlink w:anchor="_Toc100016" w:history="1">
            <w:r>
              <w:rPr>
                <w:rStyle w:val="Hyperlink"/>
              </w:rPr>
              <w:t>3.1 Stack Summary</w:t>
            </w:r>
            <w:r>
              <w:tab/>
            </w:r>
            <w:r>
              <w:fldChar w:fldCharType="begin"/>
            </w:r>
            <w:r>
              <w:instrText xml:space="preserve"> PAGEREF _Toc100016 \h </w:instrText>
            </w:r>
            <w:r>
              <w:fldChar w:fldCharType="separate"/>
            </w:r>
            <w:r>
              <w:t>8</w:t>
            </w:r>
            <w:r>
              <w:fldChar w:fldCharType="end"/>
            </w:r>
          </w:hyperlink>
        </w:p>
        <w:p>
          <w:pPr>
            <w:pStyle w:val="11"/>
            <w:ind w:left="360"/>
            <w:tabs>
              <w:tab w:val="right" w:leader="dot" w:pos="9026"/>
            </w:tabs>
            <w:spacing w:before="120" w:after="60"/>
          </w:pPr>
          <w:hyperlink w:anchor="_Toc100017" w:history="1">
            <w:r>
              <w:rPr>
                <w:rStyle w:val="Hyperlink"/>
              </w:rPr>
              <w:t>3.2 Why These Choices</w:t>
            </w:r>
            <w:r>
              <w:tab/>
            </w:r>
            <w:r>
              <w:fldChar w:fldCharType="begin"/>
            </w:r>
            <w:r>
              <w:instrText xml:space="preserve"> PAGEREF _Toc100017 \h </w:instrText>
            </w:r>
            <w:r>
              <w:fldChar w:fldCharType="separate"/>
            </w:r>
            <w:r>
              <w:t>8</w:t>
            </w:r>
            <w:r>
              <w:fldChar w:fldCharType="end"/>
            </w:r>
          </w:hyperlink>
        </w:p>
        <w:p>
          <w:pPr>
            <w:pStyle w:val="11"/>
            <w:ind w:left="360"/>
            <w:tabs>
              <w:tab w:val="right" w:leader="dot" w:pos="9026"/>
            </w:tabs>
            <w:spacing w:before="120" w:after="60"/>
          </w:pPr>
          <w:hyperlink w:anchor="_Toc100018" w:history="1">
            <w:r>
              <w:rPr>
                <w:rStyle w:val="Hyperlink"/>
              </w:rPr>
              <w:t>3.3 Runtime Topology</w:t>
            </w:r>
            <w:r>
              <w:tab/>
            </w:r>
            <w:r>
              <w:fldChar w:fldCharType="begin"/>
            </w:r>
            <w:r>
              <w:instrText xml:space="preserve"> PAGEREF _Toc100018 \h </w:instrText>
            </w:r>
            <w:r>
              <w:fldChar w:fldCharType="separate"/>
            </w:r>
            <w:r>
              <w:t>9</w:t>
            </w:r>
            <w:r>
              <w:fldChar w:fldCharType="end"/>
            </w:r>
          </w:hyperlink>
        </w:p>
        <w:p>
          <w:pPr>
            <w:pStyle w:val="9"/>
            <w:tabs>
              <w:tab w:val="right" w:leader="dot" w:pos="9026"/>
            </w:tabs>
            <w:spacing w:before="120" w:after="60"/>
          </w:pPr>
          <w:hyperlink w:anchor="_Toc100019" w:history="1">
            <w:r>
              <w:rPr>
                <w:rStyle w:val="Hyperlink"/>
              </w:rPr>
              <w:t>4. System Architecture</w:t>
            </w:r>
            <w:r>
              <w:tab/>
            </w:r>
            <w:r>
              <w:fldChar w:fldCharType="begin"/>
            </w:r>
            <w:r>
              <w:instrText xml:space="preserve"> PAGEREF _Toc100019 \h </w:instrText>
            </w:r>
            <w:r>
              <w:fldChar w:fldCharType="separate"/>
            </w:r>
            <w:r>
              <w:t>9</w:t>
            </w:r>
            <w:r>
              <w:fldChar w:fldCharType="end"/>
            </w:r>
          </w:hyperlink>
        </w:p>
        <w:p>
          <w:pPr>
            <w:pStyle w:val="11"/>
            <w:ind w:left="360"/>
            <w:tabs>
              <w:tab w:val="right" w:leader="dot" w:pos="9026"/>
            </w:tabs>
            <w:spacing w:before="120" w:after="60"/>
          </w:pPr>
          <w:hyperlink w:anchor="_Toc100020" w:history="1">
            <w:r>
              <w:rPr>
                <w:rStyle w:val="Hyperlink"/>
              </w:rPr>
              <w:t>4.1 Monorepo Layout</w:t>
            </w:r>
            <w:r>
              <w:tab/>
            </w:r>
            <w:r>
              <w:fldChar w:fldCharType="begin"/>
            </w:r>
            <w:r>
              <w:instrText xml:space="preserve"> PAGEREF _Toc100020 \h </w:instrText>
            </w:r>
            <w:r>
              <w:fldChar w:fldCharType="separate"/>
            </w:r>
            <w:r>
              <w:t>9</w:t>
            </w:r>
            <w:r>
              <w:fldChar w:fldCharType="end"/>
            </w:r>
          </w:hyperlink>
        </w:p>
        <w:p>
          <w:pPr>
            <w:pStyle w:val="11"/>
            <w:ind w:left="360"/>
            <w:tabs>
              <w:tab w:val="right" w:leader="dot" w:pos="9026"/>
            </w:tabs>
            <w:spacing w:before="120" w:after="60"/>
          </w:pPr>
          <w:hyperlink w:anchor="_Toc100021" w:history="1">
            <w:r>
              <w:rPr>
                <w:rStyle w:val="Hyperlink"/>
              </w:rPr>
              <w:t>4.2 The Content Pipeline (How Admin Changes Reach the Website)</w:t>
            </w:r>
            <w:r>
              <w:tab/>
            </w:r>
            <w:r>
              <w:fldChar w:fldCharType="begin"/>
            </w:r>
            <w:r>
              <w:instrText xml:space="preserve"> PAGEREF _Toc100021 \h </w:instrText>
            </w:r>
            <w:r>
              <w:fldChar w:fldCharType="separate"/>
            </w:r>
            <w:r>
              <w:t>9</w:t>
            </w:r>
            <w:r>
              <w:fldChar w:fldCharType="end"/>
            </w:r>
          </w:hyperlink>
        </w:p>
        <w:p>
          <w:pPr>
            <w:pStyle w:val="11"/>
            <w:ind w:left="360"/>
            <w:tabs>
              <w:tab w:val="right" w:leader="dot" w:pos="9026"/>
            </w:tabs>
            <w:spacing w:before="120" w:after="60"/>
          </w:pPr>
          <w:hyperlink w:anchor="_Toc100022" w:history="1">
            <w:r>
              <w:rPr>
                <w:rStyle w:val="Hyperlink"/>
              </w:rPr>
              <w:t>4.3 Data Model Overview</w:t>
            </w:r>
            <w:r>
              <w:tab/>
            </w:r>
            <w:r>
              <w:fldChar w:fldCharType="begin"/>
            </w:r>
            <w:r>
              <w:instrText xml:space="preserve"> PAGEREF _Toc100022 \h </w:instrText>
            </w:r>
            <w:r>
              <w:fldChar w:fldCharType="separate"/>
            </w:r>
            <w:r>
              <w:t>10</w:t>
            </w:r>
            <w:r>
              <w:fldChar w:fldCharType="end"/>
            </w:r>
          </w:hyperlink>
        </w:p>
        <w:p>
          <w:pPr>
            <w:pStyle w:val="11"/>
            <w:ind w:left="360"/>
            <w:tabs>
              <w:tab w:val="right" w:leader="dot" w:pos="9026"/>
            </w:tabs>
            <w:spacing w:before="120" w:after="60"/>
          </w:pPr>
          <w:hyperlink w:anchor="_Toc100023" w:history="1">
            <w:r>
              <w:rPr>
                <w:rStyle w:val="Hyperlink"/>
              </w:rPr>
              <w:t>4.4 Security Model</w:t>
            </w:r>
            <w:r>
              <w:tab/>
            </w:r>
            <w:r>
              <w:fldChar w:fldCharType="begin"/>
            </w:r>
            <w:r>
              <w:instrText xml:space="preserve"> PAGEREF _Toc100023 \h </w:instrText>
            </w:r>
            <w:r>
              <w:fldChar w:fldCharType="separate"/>
            </w:r>
            <w:r>
              <w:t>10</w:t>
            </w:r>
            <w:r>
              <w:fldChar w:fldCharType="end"/>
            </w:r>
          </w:hyperlink>
        </w:p>
        <w:p>
          <w:pPr>
            <w:pStyle w:val="9"/>
            <w:tabs>
              <w:tab w:val="right" w:leader="dot" w:pos="9026"/>
            </w:tabs>
            <w:spacing w:before="120" w:after="60"/>
          </w:pPr>
          <w:hyperlink w:anchor="_Toc100024" w:history="1">
            <w:r>
              <w:rPr>
                <w:rStyle w:val="Hyperlink"/>
              </w:rPr>
              <w:t>5. Admin Console — CMS Management Guide</w:t>
            </w:r>
            <w:r>
              <w:tab/>
            </w:r>
            <w:r>
              <w:fldChar w:fldCharType="begin"/>
            </w:r>
            <w:r>
              <w:instrText xml:space="preserve"> PAGEREF _Toc100024 \h </w:instrText>
            </w:r>
            <w:r>
              <w:fldChar w:fldCharType="separate"/>
            </w:r>
            <w:r>
              <w:t>11</w:t>
            </w:r>
            <w:r>
              <w:fldChar w:fldCharType="end"/>
            </w:r>
          </w:hyperlink>
        </w:p>
        <w:p>
          <w:pPr>
            <w:pStyle w:val="11"/>
            <w:ind w:left="360"/>
            <w:tabs>
              <w:tab w:val="right" w:leader="dot" w:pos="9026"/>
            </w:tabs>
            <w:spacing w:before="120" w:after="60"/>
          </w:pPr>
          <w:hyperlink w:anchor="_Toc100025" w:history="1">
            <w:r>
              <w:rPr>
                <w:rStyle w:val="Hyperlink"/>
              </w:rPr>
              <w:t>5.1 Dashboard</w:t>
            </w:r>
            <w:r>
              <w:tab/>
            </w:r>
            <w:r>
              <w:fldChar w:fldCharType="begin"/>
            </w:r>
            <w:r>
              <w:instrText xml:space="preserve"> PAGEREF _Toc100025 \h </w:instrText>
            </w:r>
            <w:r>
              <w:fldChar w:fldCharType="separate"/>
            </w:r>
            <w:r>
              <w:t>12</w:t>
            </w:r>
            <w:r>
              <w:fldChar w:fldCharType="end"/>
            </w:r>
          </w:hyperlink>
        </w:p>
        <w:p>
          <w:pPr>
            <w:pStyle w:val="11"/>
            <w:ind w:left="360"/>
            <w:tabs>
              <w:tab w:val="right" w:leader="dot" w:pos="9026"/>
            </w:tabs>
            <w:spacing w:before="120" w:after="60"/>
          </w:pPr>
          <w:hyperlink w:anchor="_Toc100026" w:history="1">
            <w:r>
              <w:rPr>
                <w:rStyle w:val="Hyperlink"/>
              </w:rPr>
              <w:t>5.2 Content Studio (Articles, News, Pages, FAQ)</w:t>
            </w:r>
            <w:r>
              <w:tab/>
            </w:r>
            <w:r>
              <w:fldChar w:fldCharType="begin"/>
            </w:r>
            <w:r>
              <w:instrText xml:space="preserve"> PAGEREF _Toc100026 \h </w:instrText>
            </w:r>
            <w:r>
              <w:fldChar w:fldCharType="separate"/>
            </w:r>
            <w:r>
              <w:t>12</w:t>
            </w:r>
            <w:r>
              <w:fldChar w:fldCharType="end"/>
            </w:r>
          </w:hyperlink>
        </w:p>
        <w:p>
          <w:pPr>
            <w:pStyle w:val="12"/>
            <w:ind w:left="720"/>
            <w:tabs>
              <w:tab w:val="right" w:leader="dot" w:pos="9026"/>
            </w:tabs>
            <w:spacing w:before="120" w:after="60"/>
          </w:pPr>
          <w:hyperlink w:anchor="_Toc100027" w:history="1">
            <w:r>
              <w:rPr>
                <w:rStyle w:val="Hyperlink"/>
              </w:rPr>
              <w:t>What it manages</w:t>
            </w:r>
            <w:r>
              <w:tab/>
            </w:r>
            <w:r>
              <w:fldChar w:fldCharType="begin"/>
            </w:r>
            <w:r>
              <w:instrText xml:space="preserve"> PAGEREF _Toc100027 \h </w:instrText>
            </w:r>
            <w:r>
              <w:fldChar w:fldCharType="separate"/>
            </w:r>
            <w:r>
              <w:t>13</w:t>
            </w:r>
            <w:r>
              <w:fldChar w:fldCharType="end"/>
            </w:r>
          </w:hyperlink>
        </w:p>
        <w:p>
          <w:pPr>
            <w:pStyle w:val="12"/>
            <w:ind w:left="720"/>
            <w:tabs>
              <w:tab w:val="right" w:leader="dot" w:pos="9026"/>
            </w:tabs>
            <w:spacing w:before="120" w:after="60"/>
          </w:pPr>
          <w:hyperlink w:anchor="_Toc100028" w:history="1">
            <w:r>
              <w:rPr>
                <w:rStyle w:val="Hyperlink"/>
              </w:rPr>
              <w:t>Step-by-step: publish an article</w:t>
            </w:r>
            <w:r>
              <w:tab/>
            </w:r>
            <w:r>
              <w:fldChar w:fldCharType="begin"/>
            </w:r>
            <w:r>
              <w:instrText xml:space="preserve"> PAGEREF _Toc100028 \h </w:instrText>
            </w:r>
            <w:r>
              <w:fldChar w:fldCharType="separate"/>
            </w:r>
            <w:r>
              <w:t>13</w:t>
            </w:r>
            <w:r>
              <w:fldChar w:fldCharType="end"/>
            </w:r>
          </w:hyperlink>
        </w:p>
        <w:p>
          <w:pPr>
            <w:pStyle w:val="12"/>
            <w:ind w:left="720"/>
            <w:tabs>
              <w:tab w:val="right" w:leader="dot" w:pos="9026"/>
            </w:tabs>
            <w:spacing w:before="120" w:after="60"/>
          </w:pPr>
          <w:hyperlink w:anchor="_Toc100029" w:history="1">
            <w:r>
              <w:rPr>
                <w:rStyle w:val="Hyperlink"/>
              </w:rPr>
              <w:t>Revisions, rollback and conflicts</w:t>
            </w:r>
            <w:r>
              <w:tab/>
            </w:r>
            <w:r>
              <w:fldChar w:fldCharType="begin"/>
            </w:r>
            <w:r>
              <w:instrText xml:space="preserve"> PAGEREF _Toc100029 \h </w:instrText>
            </w:r>
            <w:r>
              <w:fldChar w:fldCharType="separate"/>
            </w:r>
            <w:r>
              <w:t>14</w:t>
            </w:r>
            <w:r>
              <w:fldChar w:fldCharType="end"/>
            </w:r>
          </w:hyperlink>
        </w:p>
        <w:p>
          <w:pPr>
            <w:pStyle w:val="11"/>
            <w:ind w:left="360"/>
            <w:tabs>
              <w:tab w:val="right" w:leader="dot" w:pos="9026"/>
            </w:tabs>
            <w:spacing w:before="120" w:after="60"/>
          </w:pPr>
          <w:hyperlink w:anchor="_Toc100030" w:history="1">
            <w:r>
              <w:rPr>
                <w:rStyle w:val="Hyperlink"/>
              </w:rPr>
              <w:t>5.3 Products (Catalog)</w:t>
            </w:r>
            <w:r>
              <w:tab/>
            </w:r>
            <w:r>
              <w:fldChar w:fldCharType="begin"/>
            </w:r>
            <w:r>
              <w:instrText xml:space="preserve"> PAGEREF _Toc100030 \h </w:instrText>
            </w:r>
            <w:r>
              <w:fldChar w:fldCharType="separate"/>
            </w:r>
            <w:r>
              <w:t>14</w:t>
            </w:r>
            <w:r>
              <w:fldChar w:fldCharType="end"/>
            </w:r>
          </w:hyperlink>
        </w:p>
        <w:p>
          <w:pPr>
            <w:pStyle w:val="12"/>
            <w:ind w:left="720"/>
            <w:tabs>
              <w:tab w:val="right" w:leader="dot" w:pos="9026"/>
            </w:tabs>
            <w:spacing w:before="120" w:after="60"/>
          </w:pPr>
          <w:hyperlink w:anchor="_Toc100031" w:history="1">
            <w:r>
              <w:rPr>
                <w:rStyle w:val="Hyperlink"/>
              </w:rPr>
              <w:t>Step-by-step: create a product</w:t>
            </w:r>
            <w:r>
              <w:tab/>
            </w:r>
            <w:r>
              <w:fldChar w:fldCharType="begin"/>
            </w:r>
            <w:r>
              <w:instrText xml:space="preserve"> PAGEREF _Toc100031 \h </w:instrText>
            </w:r>
            <w:r>
              <w:fldChar w:fldCharType="separate"/>
            </w:r>
            <w:r>
              <w:t>15</w:t>
            </w:r>
            <w:r>
              <w:fldChar w:fldCharType="end"/>
            </w:r>
          </w:hyperlink>
        </w:p>
        <w:p>
          <w:pPr>
            <w:pStyle w:val="12"/>
            <w:ind w:left="720"/>
            <w:tabs>
              <w:tab w:val="right" w:leader="dot" w:pos="9026"/>
            </w:tabs>
            <w:spacing w:before="120" w:after="60"/>
          </w:pPr>
          <w:hyperlink w:anchor="_Toc100032" w:history="1">
            <w:r>
              <w:rPr>
                <w:rStyle w:val="Hyperlink"/>
              </w:rPr>
              <w:t>Variants, import and export</w:t>
            </w:r>
            <w:r>
              <w:tab/>
            </w:r>
            <w:r>
              <w:fldChar w:fldCharType="begin"/>
            </w:r>
            <w:r>
              <w:instrText xml:space="preserve"> PAGEREF _Toc100032 \h </w:instrText>
            </w:r>
            <w:r>
              <w:fldChar w:fldCharType="separate"/>
            </w:r>
            <w:r>
              <w:t>16</w:t>
            </w:r>
            <w:r>
              <w:fldChar w:fldCharType="end"/>
            </w:r>
          </w:hyperlink>
        </w:p>
        <w:p>
          <w:pPr>
            <w:pStyle w:val="11"/>
            <w:ind w:left="360"/>
            <w:tabs>
              <w:tab w:val="right" w:leader="dot" w:pos="9026"/>
            </w:tabs>
            <w:spacing w:before="120" w:after="60"/>
          </w:pPr>
          <w:hyperlink w:anchor="_Toc100033" w:history="1">
            <w:r>
              <w:rPr>
                <w:rStyle w:val="Hyperlink"/>
              </w:rPr>
              <w:t>5.4 Compatibility Matrix (QVL)</w:t>
            </w:r>
            <w:r>
              <w:tab/>
            </w:r>
            <w:r>
              <w:fldChar w:fldCharType="begin"/>
            </w:r>
            <w:r>
              <w:instrText xml:space="preserve"> PAGEREF _Toc100033 \h </w:instrText>
            </w:r>
            <w:r>
              <w:fldChar w:fldCharType="separate"/>
            </w:r>
            <w:r>
              <w:t>16</w:t>
            </w:r>
            <w:r>
              <w:fldChar w:fldCharType="end"/>
            </w:r>
          </w:hyperlink>
        </w:p>
        <w:p>
          <w:pPr>
            <w:pStyle w:val="11"/>
            <w:ind w:left="360"/>
            <w:tabs>
              <w:tab w:val="right" w:leader="dot" w:pos="9026"/>
            </w:tabs>
            <w:spacing w:before="120" w:after="60"/>
          </w:pPr>
          <w:hyperlink w:anchor="_Toc100034" w:history="1">
            <w:r>
              <w:rPr>
                <w:rStyle w:val="Hyperlink"/>
              </w:rPr>
              <w:t>5.5 Leads &amp; Quotes</w:t>
            </w:r>
            <w:r>
              <w:tab/>
            </w:r>
            <w:r>
              <w:fldChar w:fldCharType="begin"/>
            </w:r>
            <w:r>
              <w:instrText xml:space="preserve"> PAGEREF _Toc100034 \h </w:instrText>
            </w:r>
            <w:r>
              <w:fldChar w:fldCharType="separate"/>
            </w:r>
            <w:r>
              <w:t>16</w:t>
            </w:r>
            <w:r>
              <w:fldChar w:fldCharType="end"/>
            </w:r>
          </w:hyperlink>
        </w:p>
        <w:p>
          <w:pPr>
            <w:pStyle w:val="12"/>
            <w:ind w:left="720"/>
            <w:tabs>
              <w:tab w:val="right" w:leader="dot" w:pos="9026"/>
            </w:tabs>
            <w:spacing w:before="120" w:after="60"/>
          </w:pPr>
          <w:hyperlink w:anchor="_Toc100035" w:history="1">
            <w:r>
              <w:rPr>
                <w:rStyle w:val="Hyperlink"/>
              </w:rPr>
              <w:t>The lead workflow</w:t>
            </w:r>
            <w:r>
              <w:tab/>
            </w:r>
            <w:r>
              <w:fldChar w:fldCharType="begin"/>
            </w:r>
            <w:r>
              <w:instrText xml:space="preserve"> PAGEREF _Toc100035 \h </w:instrText>
            </w:r>
            <w:r>
              <w:fldChar w:fldCharType="separate"/>
            </w:r>
            <w:r>
              <w:t>17</w:t>
            </w:r>
            <w:r>
              <w:fldChar w:fldCharType="end"/>
            </w:r>
          </w:hyperlink>
        </w:p>
        <w:p>
          <w:pPr>
            <w:pStyle w:val="12"/>
            <w:ind w:left="720"/>
            <w:tabs>
              <w:tab w:val="right" w:leader="dot" w:pos="9026"/>
            </w:tabs>
            <w:spacing w:before="120" w:after="60"/>
          </w:pPr>
          <w:hyperlink w:anchor="_Toc100036" w:history="1">
            <w:r>
              <w:rPr>
                <w:rStyle w:val="Hyperlink"/>
              </w:rPr>
              <w:t>Reading the analytics</w:t>
            </w:r>
            <w:r>
              <w:tab/>
            </w:r>
            <w:r>
              <w:fldChar w:fldCharType="begin"/>
            </w:r>
            <w:r>
              <w:instrText xml:space="preserve"> PAGEREF _Toc100036 \h </w:instrText>
            </w:r>
            <w:r>
              <w:fldChar w:fldCharType="separate"/>
            </w:r>
            <w:r>
              <w:t>17</w:t>
            </w:r>
            <w:r>
              <w:fldChar w:fldCharType="end"/>
            </w:r>
          </w:hyperlink>
        </w:p>
        <w:p>
          <w:pPr>
            <w:pStyle w:val="11"/>
            <w:ind w:left="360"/>
            <w:tabs>
              <w:tab w:val="right" w:leader="dot" w:pos="9026"/>
            </w:tabs>
            <w:spacing w:before="120" w:after="60"/>
          </w:pPr>
          <w:hyperlink w:anchor="_Toc100037" w:history="1">
            <w:r>
              <w:rPr>
                <w:rStyle w:val="Hyperlink"/>
              </w:rPr>
              <w:t>5.6 RMA Board (Returns)</w:t>
            </w:r>
            <w:r>
              <w:tab/>
            </w:r>
            <w:r>
              <w:fldChar w:fldCharType="begin"/>
            </w:r>
            <w:r>
              <w:instrText xml:space="preserve"> PAGEREF _Toc100037 \h </w:instrText>
            </w:r>
            <w:r>
              <w:fldChar w:fldCharType="separate"/>
            </w:r>
            <w:r>
              <w:t>18</w:t>
            </w:r>
            <w:r>
              <w:fldChar w:fldCharType="end"/>
            </w:r>
          </w:hyperlink>
        </w:p>
        <w:p>
          <w:pPr>
            <w:pStyle w:val="12"/>
            <w:ind w:left="720"/>
            <w:tabs>
              <w:tab w:val="right" w:leader="dot" w:pos="9026"/>
            </w:tabs>
            <w:spacing w:before="120" w:after="60"/>
          </w:pPr>
          <w:hyperlink w:anchor="_Toc100038" w:history="1">
            <w:r>
              <w:rPr>
                <w:rStyle w:val="Hyperlink"/>
              </w:rPr>
              <w:t>Working a case</w:t>
            </w:r>
            <w:r>
              <w:tab/>
            </w:r>
            <w:r>
              <w:fldChar w:fldCharType="begin"/>
            </w:r>
            <w:r>
              <w:instrText xml:space="preserve"> PAGEREF _Toc100038 \h </w:instrText>
            </w:r>
            <w:r>
              <w:fldChar w:fldCharType="separate"/>
            </w:r>
            <w:r>
              <w:t>18</w:t>
            </w:r>
            <w:r>
              <w:fldChar w:fldCharType="end"/>
            </w:r>
          </w:hyperlink>
        </w:p>
        <w:p>
          <w:pPr>
            <w:pStyle w:val="11"/>
            <w:ind w:left="360"/>
            <w:tabs>
              <w:tab w:val="right" w:leader="dot" w:pos="9026"/>
            </w:tabs>
            <w:spacing w:before="120" w:after="60"/>
          </w:pPr>
          <w:hyperlink w:anchor="_Toc100039" w:history="1">
            <w:r>
              <w:rPr>
                <w:rStyle w:val="Hyperlink"/>
              </w:rPr>
              <w:t>5.7 Careers (Postings &amp; Applications)</w:t>
            </w:r>
            <w:r>
              <w:tab/>
            </w:r>
            <w:r>
              <w:fldChar w:fldCharType="begin"/>
            </w:r>
            <w:r>
              <w:instrText xml:space="preserve"> PAGEREF _Toc100039 \h </w:instrText>
            </w:r>
            <w:r>
              <w:fldChar w:fldCharType="separate"/>
            </w:r>
            <w:r>
              <w:t>19</w:t>
            </w:r>
            <w:r>
              <w:fldChar w:fldCharType="end"/>
            </w:r>
          </w:hyperlink>
        </w:p>
        <w:p>
          <w:pPr>
            <w:pStyle w:val="11"/>
            <w:ind w:left="360"/>
            <w:tabs>
              <w:tab w:val="right" w:leader="dot" w:pos="9026"/>
            </w:tabs>
            <w:spacing w:before="120" w:after="60"/>
          </w:pPr>
          <w:hyperlink w:anchor="_Toc100040" w:history="1">
            <w:r>
              <w:rPr>
                <w:rStyle w:val="Hyperlink"/>
              </w:rPr>
              <w:t>5.8 SN-check &amp; Serials (Anti-Counterfeit)</w:t>
            </w:r>
            <w:r>
              <w:tab/>
            </w:r>
            <w:r>
              <w:fldChar w:fldCharType="begin"/>
            </w:r>
            <w:r>
              <w:instrText xml:space="preserve"> PAGEREF _Toc100040 \h </w:instrText>
            </w:r>
            <w:r>
              <w:fldChar w:fldCharType="separate"/>
            </w:r>
            <w:r>
              <w:t>19</w:t>
            </w:r>
            <w:r>
              <w:fldChar w:fldCharType="end"/>
            </w:r>
          </w:hyperlink>
        </w:p>
        <w:p>
          <w:pPr>
            <w:pStyle w:val="12"/>
            <w:ind w:left="720"/>
            <w:tabs>
              <w:tab w:val="right" w:leader="dot" w:pos="9026"/>
            </w:tabs>
            <w:spacing w:before="120" w:after="60"/>
          </w:pPr>
          <w:hyperlink w:anchor="_Toc100041" w:history="1">
            <w:r>
              <w:rPr>
                <w:rStyle w:val="Hyperlink"/>
              </w:rPr>
              <w:t>The brand-protection loop</w:t>
            </w:r>
            <w:r>
              <w:tab/>
            </w:r>
            <w:r>
              <w:fldChar w:fldCharType="begin"/>
            </w:r>
            <w:r>
              <w:instrText xml:space="preserve"> PAGEREF _Toc100041 \h </w:instrText>
            </w:r>
            <w:r>
              <w:fldChar w:fldCharType="separate"/>
            </w:r>
            <w:r>
              <w:t>19</w:t>
            </w:r>
            <w:r>
              <w:fldChar w:fldCharType="end"/>
            </w:r>
          </w:hyperlink>
        </w:p>
        <w:p>
          <w:pPr>
            <w:pStyle w:val="11"/>
            <w:ind w:left="360"/>
            <w:tabs>
              <w:tab w:val="right" w:leader="dot" w:pos="9026"/>
            </w:tabs>
            <w:spacing w:before="120" w:after="60"/>
          </w:pPr>
          <w:hyperlink w:anchor="_Toc100042" w:history="1">
            <w:r>
              <w:rPr>
                <w:rStyle w:val="Hyperlink"/>
              </w:rPr>
              <w:t>5.9 Partners &amp; Channel</w:t>
            </w:r>
            <w:r>
              <w:tab/>
            </w:r>
            <w:r>
              <w:fldChar w:fldCharType="begin"/>
            </w:r>
            <w:r>
              <w:instrText xml:space="preserve"> PAGEREF _Toc100042 \h </w:instrText>
            </w:r>
            <w:r>
              <w:fldChar w:fldCharType="separate"/>
            </w:r>
            <w:r>
              <w:t>20</w:t>
            </w:r>
            <w:r>
              <w:fldChar w:fldCharType="end"/>
            </w:r>
          </w:hyperlink>
        </w:p>
        <w:p>
          <w:pPr>
            <w:pStyle w:val="12"/>
            <w:ind w:left="720"/>
            <w:tabs>
              <w:tab w:val="right" w:leader="dot" w:pos="9026"/>
            </w:tabs>
            <w:spacing w:before="120" w:after="60"/>
          </w:pPr>
          <w:hyperlink w:anchor="_Toc100043" w:history="1">
            <w:r>
              <w:rPr>
                <w:rStyle w:val="Hyperlink"/>
              </w:rPr>
              <w:t>Portal organizations</w:t>
            </w:r>
            <w:r>
              <w:tab/>
            </w:r>
            <w:r>
              <w:fldChar w:fldCharType="begin"/>
            </w:r>
            <w:r>
              <w:instrText xml:space="preserve"> PAGEREF _Toc100043 \h </w:instrText>
            </w:r>
            <w:r>
              <w:fldChar w:fldCharType="separate"/>
            </w:r>
            <w:r>
              <w:t>20</w:t>
            </w:r>
            <w:r>
              <w:fldChar w:fldCharType="end"/>
            </w:r>
          </w:hyperlink>
        </w:p>
        <w:p>
          <w:pPr>
            <w:pStyle w:val="12"/>
            <w:ind w:left="720"/>
            <w:tabs>
              <w:tab w:val="right" w:leader="dot" w:pos="9026"/>
            </w:tabs>
            <w:spacing w:before="120" w:after="60"/>
          </w:pPr>
          <w:hyperlink w:anchor="_Toc100044" w:history="1">
            <w:r>
              <w:rPr>
                <w:rStyle w:val="Hyperlink"/>
              </w:rPr>
              <w:t>Where-to-Buy directory</w:t>
            </w:r>
            <w:r>
              <w:tab/>
            </w:r>
            <w:r>
              <w:fldChar w:fldCharType="begin"/>
            </w:r>
            <w:r>
              <w:instrText xml:space="preserve"> PAGEREF _Toc100044 \h </w:instrText>
            </w:r>
            <w:r>
              <w:fldChar w:fldCharType="separate"/>
            </w:r>
            <w:r>
              <w:t>21</w:t>
            </w:r>
            <w:r>
              <w:fldChar w:fldCharType="end"/>
            </w:r>
          </w:hyperlink>
        </w:p>
        <w:p>
          <w:pPr>
            <w:pStyle w:val="11"/>
            <w:ind w:left="360"/>
            <w:tabs>
              <w:tab w:val="right" w:leader="dot" w:pos="9026"/>
            </w:tabs>
            <w:spacing w:before="120" w:after="60"/>
          </w:pPr>
          <w:hyperlink w:anchor="_Toc100045" w:history="1">
            <w:r>
              <w:rPr>
                <w:rStyle w:val="Hyperlink"/>
              </w:rPr>
              <w:t>5.10 Media Library (DAM)</w:t>
            </w:r>
            <w:r>
              <w:tab/>
            </w:r>
            <w:r>
              <w:fldChar w:fldCharType="begin"/>
            </w:r>
            <w:r>
              <w:instrText xml:space="preserve"> PAGEREF _Toc100045 \h </w:instrText>
            </w:r>
            <w:r>
              <w:fldChar w:fldCharType="separate"/>
            </w:r>
            <w:r>
              <w:t>21</w:t>
            </w:r>
            <w:r>
              <w:fldChar w:fldCharType="end"/>
            </w:r>
          </w:hyperlink>
        </w:p>
        <w:p>
          <w:pPr>
            <w:pStyle w:val="11"/>
            <w:ind w:left="360"/>
            <w:tabs>
              <w:tab w:val="right" w:leader="dot" w:pos="9026"/>
            </w:tabs>
            <w:spacing w:before="120" w:after="60"/>
          </w:pPr>
          <w:hyperlink w:anchor="_Toc100046" w:history="1">
            <w:r>
              <w:rPr>
                <w:rStyle w:val="Hyperlink"/>
              </w:rPr>
              <w:t>5.11 Translation Studio</w:t>
            </w:r>
            <w:r>
              <w:tab/>
            </w:r>
            <w:r>
              <w:fldChar w:fldCharType="begin"/>
            </w:r>
            <w:r>
              <w:instrText xml:space="preserve"> PAGEREF _Toc100046 \h </w:instrText>
            </w:r>
            <w:r>
              <w:fldChar w:fldCharType="separate"/>
            </w:r>
            <w:r>
              <w:t>22</w:t>
            </w:r>
            <w:r>
              <w:fldChar w:fldCharType="end"/>
            </w:r>
          </w:hyperlink>
        </w:p>
        <w:p>
          <w:pPr>
            <w:pStyle w:val="11"/>
            <w:ind w:left="360"/>
            <w:tabs>
              <w:tab w:val="right" w:leader="dot" w:pos="9026"/>
            </w:tabs>
            <w:spacing w:before="120" w:after="60"/>
          </w:pPr>
          <w:hyperlink w:anchor="_Toc100047" w:history="1">
            <w:r>
              <w:rPr>
                <w:rStyle w:val="Hyperlink"/>
              </w:rPr>
              <w:t>5.12 Users &amp; Roles</w:t>
            </w:r>
            <w:r>
              <w:tab/>
            </w:r>
            <w:r>
              <w:fldChar w:fldCharType="begin"/>
            </w:r>
            <w:r>
              <w:instrText xml:space="preserve"> PAGEREF _Toc100047 \h </w:instrText>
            </w:r>
            <w:r>
              <w:fldChar w:fldCharType="separate"/>
            </w:r>
            <w:r>
              <w:t>22</w:t>
            </w:r>
            <w:r>
              <w:fldChar w:fldCharType="end"/>
            </w:r>
          </w:hyperlink>
        </w:p>
        <w:p>
          <w:pPr>
            <w:pStyle w:val="11"/>
            <w:ind w:left="360"/>
            <w:tabs>
              <w:tab w:val="right" w:leader="dot" w:pos="9026"/>
            </w:tabs>
            <w:spacing w:before="120" w:after="60"/>
          </w:pPr>
          <w:hyperlink w:anchor="_Toc100048" w:history="1">
            <w:r>
              <w:rPr>
                <w:rStyle w:val="Hyperlink"/>
              </w:rPr>
              <w:t>5.13 Audit Log</w:t>
            </w:r>
            <w:r>
              <w:tab/>
            </w:r>
            <w:r>
              <w:fldChar w:fldCharType="begin"/>
            </w:r>
            <w:r>
              <w:instrText xml:space="preserve"> PAGEREF _Toc100048 \h </w:instrText>
            </w:r>
            <w:r>
              <w:fldChar w:fldCharType="separate"/>
            </w:r>
            <w:r>
              <w:t>23</w:t>
            </w:r>
            <w:r>
              <w:fldChar w:fldCharType="end"/>
            </w:r>
          </w:hyperlink>
        </w:p>
        <w:p>
          <w:pPr>
            <w:pStyle w:val="11"/>
            <w:ind w:left="360"/>
            <w:tabs>
              <w:tab w:val="right" w:leader="dot" w:pos="9026"/>
            </w:tabs>
            <w:spacing w:before="120" w:after="60"/>
          </w:pPr>
          <w:hyperlink w:anchor="_Toc100049" w:history="1">
            <w:r>
              <w:rPr>
                <w:rStyle w:val="Hyperlink"/>
              </w:rPr>
              <w:t>5.14 Settings</w:t>
            </w:r>
            <w:r>
              <w:tab/>
            </w:r>
            <w:r>
              <w:fldChar w:fldCharType="begin"/>
            </w:r>
            <w:r>
              <w:instrText xml:space="preserve"> PAGEREF _Toc100049 \h </w:instrText>
            </w:r>
            <w:r>
              <w:fldChar w:fldCharType="separate"/>
            </w:r>
            <w:r>
              <w:t>23</w:t>
            </w:r>
            <w:r>
              <w:fldChar w:fldCharType="end"/>
            </w:r>
          </w:hyperlink>
        </w:p>
        <w:p>
          <w:pPr>
            <w:pStyle w:val="9"/>
            <w:tabs>
              <w:tab w:val="right" w:leader="dot" w:pos="9026"/>
            </w:tabs>
            <w:spacing w:before="120" w:after="60"/>
          </w:pPr>
          <w:hyperlink w:anchor="_Toc100050" w:history="1">
            <w:r>
              <w:rPr>
                <w:rStyle w:val="Hyperlink"/>
              </w:rPr>
              <w:t>6. Daily Operations Runbook (Webmaster)</w:t>
            </w:r>
            <w:r>
              <w:tab/>
            </w:r>
            <w:r>
              <w:fldChar w:fldCharType="begin"/>
            </w:r>
            <w:r>
              <w:instrText xml:space="preserve"> PAGEREF _Toc100050 \h </w:instrText>
            </w:r>
            <w:r>
              <w:fldChar w:fldCharType="separate"/>
            </w:r>
            <w:r>
              <w:t>24</w:t>
            </w:r>
            <w:r>
              <w:fldChar w:fldCharType="end"/>
            </w:r>
          </w:hyperlink>
        </w:p>
        <w:p>
          <w:pPr>
            <w:pStyle w:val="11"/>
            <w:ind w:left="360"/>
            <w:tabs>
              <w:tab w:val="right" w:leader="dot" w:pos="9026"/>
            </w:tabs>
            <w:spacing w:before="120" w:after="60"/>
          </w:pPr>
          <w:hyperlink w:anchor="_Toc100051" w:history="1">
            <w:r>
              <w:rPr>
                <w:rStyle w:val="Hyperlink"/>
              </w:rPr>
              <w:t>6.1 Morning Check (10 minutes)</w:t>
            </w:r>
            <w:r>
              <w:tab/>
            </w:r>
            <w:r>
              <w:fldChar w:fldCharType="begin"/>
            </w:r>
            <w:r>
              <w:instrText xml:space="preserve"> PAGEREF _Toc100051 \h </w:instrText>
            </w:r>
            <w:r>
              <w:fldChar w:fldCharType="separate"/>
            </w:r>
            <w:r>
              <w:t>24</w:t>
            </w:r>
            <w:r>
              <w:fldChar w:fldCharType="end"/>
            </w:r>
          </w:hyperlink>
        </w:p>
        <w:p>
          <w:pPr>
            <w:pStyle w:val="11"/>
            <w:ind w:left="360"/>
            <w:tabs>
              <w:tab w:val="right" w:leader="dot" w:pos="9026"/>
            </w:tabs>
            <w:spacing w:before="120" w:after="60"/>
          </w:pPr>
          <w:hyperlink w:anchor="_Toc100052" w:history="1">
            <w:r>
              <w:rPr>
                <w:rStyle w:val="Hyperlink"/>
              </w:rPr>
              <w:t>6.2 Publishing Content to the Live Site</w:t>
            </w:r>
            <w:r>
              <w:tab/>
            </w:r>
            <w:r>
              <w:fldChar w:fldCharType="begin"/>
            </w:r>
            <w:r>
              <w:instrText xml:space="preserve"> PAGEREF _Toc100052 \h </w:instrText>
            </w:r>
            <w:r>
              <w:fldChar w:fldCharType="separate"/>
            </w:r>
            <w:r>
              <w:t>24</w:t>
            </w:r>
            <w:r>
              <w:fldChar w:fldCharType="end"/>
            </w:r>
          </w:hyperlink>
        </w:p>
        <w:p>
          <w:pPr>
            <w:pStyle w:val="11"/>
            <w:ind w:left="360"/>
            <w:tabs>
              <w:tab w:val="right" w:leader="dot" w:pos="9026"/>
            </w:tabs>
            <w:spacing w:before="120" w:after="60"/>
          </w:pPr>
          <w:hyperlink w:anchor="_Toc100053" w:history="1">
            <w:r>
              <w:rPr>
                <w:rStyle w:val="Hyperlink"/>
              </w:rPr>
              <w:t>6.3 Weekly Rhythm</w:t>
            </w:r>
            <w:r>
              <w:tab/>
            </w:r>
            <w:r>
              <w:fldChar w:fldCharType="begin"/>
            </w:r>
            <w:r>
              <w:instrText xml:space="preserve"> PAGEREF _Toc100053 \h </w:instrText>
            </w:r>
            <w:r>
              <w:fldChar w:fldCharType="separate"/>
            </w:r>
            <w:r>
              <w:t>25</w:t>
            </w:r>
            <w:r>
              <w:fldChar w:fldCharType="end"/>
            </w:r>
          </w:hyperlink>
        </w:p>
        <w:p>
          <w:pPr>
            <w:pStyle w:val="11"/>
            <w:ind w:left="360"/>
            <w:tabs>
              <w:tab w:val="right" w:leader="dot" w:pos="9026"/>
            </w:tabs>
            <w:spacing w:before="120" w:after="60"/>
          </w:pPr>
          <w:hyperlink w:anchor="_Toc100054" w:history="1">
            <w:r>
              <w:rPr>
                <w:rStyle w:val="Hyperlink"/>
              </w:rPr>
              <w:t>6.4 Access Management Rules</w:t>
            </w:r>
            <w:r>
              <w:tab/>
            </w:r>
            <w:r>
              <w:fldChar w:fldCharType="begin"/>
            </w:r>
            <w:r>
              <w:instrText xml:space="preserve"> PAGEREF _Toc100054 \h </w:instrText>
            </w:r>
            <w:r>
              <w:fldChar w:fldCharType="separate"/>
            </w:r>
            <w:r>
              <w:t>25</w:t>
            </w:r>
            <w:r>
              <w:fldChar w:fldCharType="end"/>
            </w:r>
          </w:hyperlink>
        </w:p>
        <w:p>
          <w:pPr>
            <w:pStyle w:val="9"/>
            <w:tabs>
              <w:tab w:val="right" w:leader="dot" w:pos="9026"/>
            </w:tabs>
            <w:spacing w:before="120" w:after="60"/>
          </w:pPr>
          <w:hyperlink w:anchor="_Toc100055" w:history="1">
            <w:r>
              <w:rPr>
                <w:rStyle w:val="Hyperlink"/>
              </w:rPr>
              <w:t>7. Cloud Deployment Guide (Software Engineer)</w:t>
            </w:r>
            <w:r>
              <w:tab/>
            </w:r>
            <w:r>
              <w:fldChar w:fldCharType="begin"/>
            </w:r>
            <w:r>
              <w:instrText xml:space="preserve"> PAGEREF _Toc100055 \h </w:instrText>
            </w:r>
            <w:r>
              <w:fldChar w:fldCharType="separate"/>
            </w:r>
            <w:r>
              <w:t>26</w:t>
            </w:r>
            <w:r>
              <w:fldChar w:fldCharType="end"/>
            </w:r>
          </w:hyperlink>
        </w:p>
        <w:p>
          <w:pPr>
            <w:pStyle w:val="11"/>
            <w:ind w:left="360"/>
            <w:tabs>
              <w:tab w:val="right" w:leader="dot" w:pos="9026"/>
            </w:tabs>
            <w:spacing w:before="120" w:after="60"/>
          </w:pPr>
          <w:hyperlink w:anchor="_Toc100056" w:history="1">
            <w:r>
              <w:rPr>
                <w:rStyle w:val="Hyperlink"/>
              </w:rPr>
              <w:t>7.1 Production Topology and Sizing</w:t>
            </w:r>
            <w:r>
              <w:tab/>
            </w:r>
            <w:r>
              <w:fldChar w:fldCharType="begin"/>
            </w:r>
            <w:r>
              <w:instrText xml:space="preserve"> PAGEREF _Toc100056 \h </w:instrText>
            </w:r>
            <w:r>
              <w:fldChar w:fldCharType="separate"/>
            </w:r>
            <w:r>
              <w:t>26</w:t>
            </w:r>
            <w:r>
              <w:fldChar w:fldCharType="end"/>
            </w:r>
          </w:hyperlink>
        </w:p>
        <w:p>
          <w:pPr>
            <w:pStyle w:val="11"/>
            <w:ind w:left="360"/>
            <w:tabs>
              <w:tab w:val="right" w:leader="dot" w:pos="9026"/>
            </w:tabs>
            <w:spacing w:before="120" w:after="60"/>
          </w:pPr>
          <w:hyperlink w:anchor="_Toc100057" w:history="1">
            <w:r>
              <w:rPr>
                <w:rStyle w:val="Hyperlink"/>
              </w:rPr>
              <w:t>7.2 Step 1 — Provision and Prepare the VM (once)</w:t>
            </w:r>
            <w:r>
              <w:tab/>
            </w:r>
            <w:r>
              <w:fldChar w:fldCharType="begin"/>
            </w:r>
            <w:r>
              <w:instrText xml:space="preserve"> PAGEREF _Toc100057 \h </w:instrText>
            </w:r>
            <w:r>
              <w:fldChar w:fldCharType="separate"/>
            </w:r>
            <w:r>
              <w:t>27</w:t>
            </w:r>
            <w:r>
              <w:fldChar w:fldCharType="end"/>
            </w:r>
          </w:hyperlink>
        </w:p>
        <w:p>
          <w:pPr>
            <w:pStyle w:val="11"/>
            <w:ind w:left="360"/>
            <w:tabs>
              <w:tab w:val="right" w:leader="dot" w:pos="9026"/>
            </w:tabs>
            <w:spacing w:before="120" w:after="60"/>
          </w:pPr>
          <w:hyperlink w:anchor="_Toc100058" w:history="1">
            <w:r>
              <w:rPr>
                <w:rStyle w:val="Hyperlink"/>
              </w:rPr>
              <w:t>7.3 Step 2 — Database</w:t>
            </w:r>
            <w:r>
              <w:tab/>
            </w:r>
            <w:r>
              <w:fldChar w:fldCharType="begin"/>
            </w:r>
            <w:r>
              <w:instrText xml:space="preserve"> PAGEREF _Toc100058 \h </w:instrText>
            </w:r>
            <w:r>
              <w:fldChar w:fldCharType="separate"/>
            </w:r>
            <w:r>
              <w:t>27</w:t>
            </w:r>
            <w:r>
              <w:fldChar w:fldCharType="end"/>
            </w:r>
          </w:hyperlink>
        </w:p>
        <w:p>
          <w:pPr>
            <w:pStyle w:val="11"/>
            <w:ind w:left="360"/>
            <w:tabs>
              <w:tab w:val="right" w:leader="dot" w:pos="9026"/>
            </w:tabs>
            <w:spacing w:before="120" w:after="60"/>
          </w:pPr>
          <w:hyperlink w:anchor="_Toc100059" w:history="1">
            <w:r>
              <w:rPr>
                <w:rStyle w:val="Hyperlink"/>
              </w:rPr>
              <w:t>7.4 Step 3 — API Service</w:t>
            </w:r>
            <w:r>
              <w:tab/>
            </w:r>
            <w:r>
              <w:fldChar w:fldCharType="begin"/>
            </w:r>
            <w:r>
              <w:instrText xml:space="preserve"> PAGEREF _Toc100059 \h </w:instrText>
            </w:r>
            <w:r>
              <w:fldChar w:fldCharType="separate"/>
            </w:r>
            <w:r>
              <w:t>27</w:t>
            </w:r>
            <w:r>
              <w:fldChar w:fldCharType="end"/>
            </w:r>
          </w:hyperlink>
        </w:p>
        <w:p>
          <w:pPr>
            <w:pStyle w:val="11"/>
            <w:ind w:left="360"/>
            <w:tabs>
              <w:tab w:val="right" w:leader="dot" w:pos="9026"/>
            </w:tabs>
            <w:spacing w:before="120" w:after="60"/>
          </w:pPr>
          <w:hyperlink w:anchor="_Toc100060" w:history="1">
            <w:r>
              <w:rPr>
                <w:rStyle w:val="Hyperlink"/>
              </w:rPr>
              <w:t>7.5 Step 4 — Web + Admin Static Bundles</w:t>
            </w:r>
            <w:r>
              <w:tab/>
            </w:r>
            <w:r>
              <w:fldChar w:fldCharType="begin"/>
            </w:r>
            <w:r>
              <w:instrText xml:space="preserve"> PAGEREF _Toc100060 \h </w:instrText>
            </w:r>
            <w:r>
              <w:fldChar w:fldCharType="separate"/>
            </w:r>
            <w:r>
              <w:t>28</w:t>
            </w:r>
            <w:r>
              <w:fldChar w:fldCharType="end"/>
            </w:r>
          </w:hyperlink>
        </w:p>
        <w:p>
          <w:pPr>
            <w:pStyle w:val="11"/>
            <w:ind w:left="360"/>
            <w:tabs>
              <w:tab w:val="right" w:leader="dot" w:pos="9026"/>
            </w:tabs>
            <w:spacing w:before="120" w:after="60"/>
          </w:pPr>
          <w:hyperlink w:anchor="_Toc100061" w:history="1">
            <w:r>
              <w:rPr>
                <w:rStyle w:val="Hyperlink"/>
              </w:rPr>
              <w:t>7.6 Content Export and Rebuild Cycle</w:t>
            </w:r>
            <w:r>
              <w:tab/>
            </w:r>
            <w:r>
              <w:fldChar w:fldCharType="begin"/>
            </w:r>
            <w:r>
              <w:instrText xml:space="preserve"> PAGEREF _Toc100061 \h </w:instrText>
            </w:r>
            <w:r>
              <w:fldChar w:fldCharType="separate"/>
            </w:r>
            <w:r>
              <w:t>28</w:t>
            </w:r>
            <w:r>
              <w:fldChar w:fldCharType="end"/>
            </w:r>
          </w:hyperlink>
        </w:p>
        <w:p>
          <w:pPr>
            <w:pStyle w:val="11"/>
            <w:ind w:left="360"/>
            <w:tabs>
              <w:tab w:val="right" w:leader="dot" w:pos="9026"/>
            </w:tabs>
            <w:spacing w:before="120" w:after="60"/>
          </w:pPr>
          <w:hyperlink w:anchor="_Toc100062" w:history="1">
            <w:r>
              <w:rPr>
                <w:rStyle w:val="Hyperlink"/>
              </w:rPr>
              <w:t>7.7 Step 5 — nginx + Cloudflare</w:t>
            </w:r>
            <w:r>
              <w:tab/>
            </w:r>
            <w:r>
              <w:fldChar w:fldCharType="begin"/>
            </w:r>
            <w:r>
              <w:instrText xml:space="preserve"> PAGEREF _Toc100062 \h </w:instrText>
            </w:r>
            <w:r>
              <w:fldChar w:fldCharType="separate"/>
            </w:r>
            <w:r>
              <w:t>29</w:t>
            </w:r>
            <w:r>
              <w:fldChar w:fldCharType="end"/>
            </w:r>
          </w:hyperlink>
        </w:p>
        <w:p>
          <w:pPr>
            <w:pStyle w:val="11"/>
            <w:ind w:left="360"/>
            <w:tabs>
              <w:tab w:val="right" w:leader="dot" w:pos="9026"/>
            </w:tabs>
            <w:spacing w:before="120" w:after="60"/>
          </w:pPr>
          <w:hyperlink w:anchor="_Toc100063" w:history="1">
            <w:r>
              <w:rPr>
                <w:rStyle w:val="Hyperlink"/>
              </w:rPr>
              <w:t>7.8 Step 6 — Backups and DR</w:t>
            </w:r>
            <w:r>
              <w:tab/>
            </w:r>
            <w:r>
              <w:fldChar w:fldCharType="begin"/>
            </w:r>
            <w:r>
              <w:instrText xml:space="preserve"> PAGEREF _Toc100063 \h </w:instrText>
            </w:r>
            <w:r>
              <w:fldChar w:fldCharType="separate"/>
            </w:r>
            <w:r>
              <w:t>29</w:t>
            </w:r>
            <w:r>
              <w:fldChar w:fldCharType="end"/>
            </w:r>
          </w:hyperlink>
        </w:p>
        <w:p>
          <w:pPr>
            <w:pStyle w:val="11"/>
            <w:ind w:left="360"/>
            <w:tabs>
              <w:tab w:val="right" w:leader="dot" w:pos="9026"/>
            </w:tabs>
            <w:spacing w:before="120" w:after="60"/>
          </w:pPr>
          <w:hyperlink w:anchor="_Toc100064" w:history="1">
            <w:r>
              <w:rPr>
                <w:rStyle w:val="Hyperlink"/>
              </w:rPr>
              <w:t>7.9 Step 7 — Cutover Checklist</w:t>
            </w:r>
            <w:r>
              <w:tab/>
            </w:r>
            <w:r>
              <w:fldChar w:fldCharType="begin"/>
            </w:r>
            <w:r>
              <w:instrText xml:space="preserve"> PAGEREF _Toc100064 \h </w:instrText>
            </w:r>
            <w:r>
              <w:fldChar w:fldCharType="separate"/>
            </w:r>
            <w:r>
              <w:t>29</w:t>
            </w:r>
            <w:r>
              <w:fldChar w:fldCharType="end"/>
            </w:r>
          </w:hyperlink>
        </w:p>
        <w:p>
          <w:pPr>
            <w:pStyle w:val="11"/>
            <w:ind w:left="360"/>
            <w:tabs>
              <w:tab w:val="right" w:leader="dot" w:pos="9026"/>
            </w:tabs>
            <w:spacing w:before="120" w:after="60"/>
          </w:pPr>
          <w:hyperlink w:anchor="_Toc100065" w:history="1">
            <w:r>
              <w:rPr>
                <w:rStyle w:val="Hyperlink"/>
              </w:rPr>
              <w:t>7.10 Rollback</w:t>
            </w:r>
            <w:r>
              <w:tab/>
            </w:r>
            <w:r>
              <w:fldChar w:fldCharType="begin"/>
            </w:r>
            <w:r>
              <w:instrText xml:space="preserve"> PAGEREF _Toc100065 \h </w:instrText>
            </w:r>
            <w:r>
              <w:fldChar w:fldCharType="separate"/>
            </w:r>
            <w:r>
              <w:t>31</w:t>
            </w:r>
            <w:r>
              <w:fldChar w:fldCharType="end"/>
            </w:r>
          </w:hyperlink>
        </w:p>
        <w:p>
          <w:pPr>
            <w:pStyle w:val="11"/>
            <w:ind w:left="360"/>
            <w:tabs>
              <w:tab w:val="right" w:leader="dot" w:pos="9026"/>
            </w:tabs>
            <w:spacing w:before="120" w:after="60"/>
          </w:pPr>
          <w:hyperlink w:anchor="_Toc100066" w:history="1">
            <w:r>
              <w:rPr>
                <w:rStyle w:val="Hyperlink"/>
              </w:rPr>
              <w:t>7.11 Post-Deployment Monitoring</w:t>
            </w:r>
            <w:r>
              <w:tab/>
            </w:r>
            <w:r>
              <w:fldChar w:fldCharType="begin"/>
            </w:r>
            <w:r>
              <w:instrText xml:space="preserve"> PAGEREF _Toc100066 \h </w:instrText>
            </w:r>
            <w:r>
              <w:fldChar w:fldCharType="separate"/>
            </w:r>
            <w:r>
              <w:t>31</w:t>
            </w:r>
            <w:r>
              <w:fldChar w:fldCharType="end"/>
            </w:r>
          </w:hyperlink>
        </w:p>
        <w:p>
          <w:pPr>
            <w:pStyle w:val="9"/>
            <w:tabs>
              <w:tab w:val="right" w:leader="dot" w:pos="9026"/>
            </w:tabs>
            <w:spacing w:before="120" w:after="60"/>
          </w:pPr>
          <w:hyperlink w:anchor="_Toc100067" w:history="1">
            <w:r>
              <w:rPr>
                <w:rStyle w:val="Hyperlink"/>
              </w:rPr>
              <w:t>8. Testing and Quality Gates</w:t>
            </w:r>
            <w:r>
              <w:tab/>
            </w:r>
            <w:r>
              <w:fldChar w:fldCharType="begin"/>
            </w:r>
            <w:r>
              <w:instrText xml:space="preserve"> PAGEREF _Toc100067 \h </w:instrText>
            </w:r>
            <w:r>
              <w:fldChar w:fldCharType="separate"/>
            </w:r>
            <w:r>
              <w:t>32</w:t>
            </w:r>
            <w:r>
              <w:fldChar w:fldCharType="end"/>
            </w:r>
          </w:hyperlink>
        </w:p>
        <w:p>
          <w:pPr>
            <w:pStyle w:val="11"/>
            <w:ind w:left="360"/>
            <w:tabs>
              <w:tab w:val="right" w:leader="dot" w:pos="9026"/>
            </w:tabs>
            <w:spacing w:before="120" w:after="60"/>
          </w:pPr>
          <w:hyperlink w:anchor="_Toc100068" w:history="1">
            <w:r>
              <w:rPr>
                <w:rStyle w:val="Hyperlink"/>
              </w:rPr>
              <w:t>8.1 Automated Suites</w:t>
            </w:r>
            <w:r>
              <w:tab/>
            </w:r>
            <w:r>
              <w:fldChar w:fldCharType="begin"/>
            </w:r>
            <w:r>
              <w:instrText xml:space="preserve"> PAGEREF _Toc100068 \h </w:instrText>
            </w:r>
            <w:r>
              <w:fldChar w:fldCharType="separate"/>
            </w:r>
            <w:r>
              <w:t>32</w:t>
            </w:r>
            <w:r>
              <w:fldChar w:fldCharType="end"/>
            </w:r>
          </w:hyperlink>
        </w:p>
        <w:p>
          <w:pPr>
            <w:pStyle w:val="11"/>
            <w:ind w:left="360"/>
            <w:tabs>
              <w:tab w:val="right" w:leader="dot" w:pos="9026"/>
            </w:tabs>
            <w:spacing w:before="120" w:after="60"/>
          </w:pPr>
          <w:hyperlink w:anchor="_Toc100069" w:history="1">
            <w:r>
              <w:rPr>
                <w:rStyle w:val="Hyperlink"/>
              </w:rPr>
              <w:t>8.2 Running the Gates</w:t>
            </w:r>
            <w:r>
              <w:tab/>
            </w:r>
            <w:r>
              <w:fldChar w:fldCharType="begin"/>
            </w:r>
            <w:r>
              <w:instrText xml:space="preserve"> PAGEREF _Toc100069 \h </w:instrText>
            </w:r>
            <w:r>
              <w:fldChar w:fldCharType="separate"/>
            </w:r>
            <w:r>
              <w:t>32</w:t>
            </w:r>
            <w:r>
              <w:fldChar w:fldCharType="end"/>
            </w:r>
          </w:hyperlink>
        </w:p>
        <w:p>
          <w:pPr>
            <w:pStyle w:val="9"/>
            <w:tabs>
              <w:tab w:val="right" w:leader="dot" w:pos="9026"/>
            </w:tabs>
            <w:spacing w:before="120" w:after="60"/>
          </w:pPr>
          <w:hyperlink w:anchor="_Toc100070" w:history="1">
            <w:r>
              <w:rPr>
                <w:rStyle w:val="Hyperlink"/>
              </w:rPr>
              <w:t>9. Troubleshooting</w:t>
            </w:r>
            <w:r>
              <w:tab/>
            </w:r>
            <w:r>
              <w:fldChar w:fldCharType="begin"/>
            </w:r>
            <w:r>
              <w:instrText xml:space="preserve"> PAGEREF _Toc100070 \h </w:instrText>
            </w:r>
            <w:r>
              <w:fldChar w:fldCharType="separate"/>
            </w:r>
            <w:r>
              <w:t>32</w:t>
            </w:r>
            <w:r>
              <w:fldChar w:fldCharType="end"/>
            </w:r>
          </w:hyperlink>
        </w:p>
        <w:p>
          <w:pPr>
            <w:pStyle w:val="11"/>
            <w:ind w:left="360"/>
            <w:tabs>
              <w:tab w:val="right" w:leader="dot" w:pos="9026"/>
            </w:tabs>
            <w:spacing w:before="120" w:after="60"/>
          </w:pPr>
          <w:hyperlink w:anchor="_Toc100071" w:history="1">
            <w:r>
              <w:rPr>
                <w:rStyle w:val="Hyperlink"/>
              </w:rPr>
              <w:t>9.1 Common Issues and Fixes</w:t>
            </w:r>
            <w:r>
              <w:tab/>
            </w:r>
            <w:r>
              <w:fldChar w:fldCharType="begin"/>
            </w:r>
            <w:r>
              <w:instrText xml:space="preserve"> PAGEREF _Toc100071 \h </w:instrText>
            </w:r>
            <w:r>
              <w:fldChar w:fldCharType="separate"/>
            </w:r>
            <w:r>
              <w:t>33</w:t>
            </w:r>
            <w:r>
              <w:fldChar w:fldCharType="end"/>
            </w:r>
          </w:hyperlink>
        </w:p>
        <w:p>
          <w:pPr>
            <w:pStyle w:val="11"/>
            <w:ind w:left="360"/>
            <w:tabs>
              <w:tab w:val="right" w:leader="dot" w:pos="9026"/>
            </w:tabs>
            <w:spacing w:before="120" w:after="60"/>
          </w:pPr>
          <w:hyperlink w:anchor="_Toc100072" w:history="1">
            <w:r>
              <w:rPr>
                <w:rStyle w:val="Hyperlink"/>
              </w:rPr>
              <w:t>9.2 Escalation Path</w:t>
            </w:r>
            <w:r>
              <w:tab/>
            </w:r>
            <w:r>
              <w:fldChar w:fldCharType="begin"/>
            </w:r>
            <w:r>
              <w:instrText xml:space="preserve"> PAGEREF _Toc100072 \h </w:instrText>
            </w:r>
            <w:r>
              <w:fldChar w:fldCharType="separate"/>
            </w:r>
            <w:r>
              <w:t>33</w:t>
            </w:r>
            <w:r>
              <w:fldChar w:fldCharType="end"/>
            </w:r>
          </w:hyperlink>
        </w:p>
        <w:p>
          <w:pPr>
            <w:pStyle w:val="9"/>
            <w:tabs>
              <w:tab w:val="right" w:leader="dot" w:pos="9026"/>
            </w:tabs>
            <w:spacing w:before="120" w:after="60"/>
          </w:pPr>
          <w:hyperlink w:anchor="_Toc100073" w:history="1">
            <w:r>
              <w:rPr>
                <w:rStyle w:val="Hyperlink"/>
              </w:rPr>
              <w:t>10. Appendices</w:t>
            </w:r>
            <w:r>
              <w:tab/>
            </w:r>
            <w:r>
              <w:fldChar w:fldCharType="begin"/>
            </w:r>
            <w:r>
              <w:instrText xml:space="preserve"> PAGEREF _Toc100073 \h </w:instrText>
            </w:r>
            <w:r>
              <w:fldChar w:fldCharType="separate"/>
            </w:r>
            <w:r>
              <w:t>33</w:t>
            </w:r>
            <w:r>
              <w:fldChar w:fldCharType="end"/>
            </w:r>
          </w:hyperlink>
        </w:p>
        <w:p>
          <w:pPr>
            <w:pStyle w:val="11"/>
            <w:ind w:left="360"/>
            <w:tabs>
              <w:tab w:val="right" w:leader="dot" w:pos="9026"/>
            </w:tabs>
            <w:spacing w:before="120" w:after="60"/>
          </w:pPr>
          <w:hyperlink w:anchor="_Toc100074" w:history="1">
            <w:r>
              <w:rPr>
                <w:rStyle w:val="Hyperlink"/>
              </w:rPr>
              <w:t>10.1 Appendix A — Environment Variables Reference (Production)</w:t>
            </w:r>
            <w:r>
              <w:tab/>
            </w:r>
            <w:r>
              <w:fldChar w:fldCharType="begin"/>
            </w:r>
            <w:r>
              <w:instrText xml:space="preserve"> PAGEREF _Toc100074 \h </w:instrText>
            </w:r>
            <w:r>
              <w:fldChar w:fldCharType="separate"/>
            </w:r>
            <w:r>
              <w:t>34</w:t>
            </w:r>
            <w:r>
              <w:fldChar w:fldCharType="end"/>
            </w:r>
          </w:hyperlink>
        </w:p>
        <w:p>
          <w:pPr>
            <w:pStyle w:val="11"/>
            <w:ind w:left="360"/>
            <w:tabs>
              <w:tab w:val="right" w:leader="dot" w:pos="9026"/>
            </w:tabs>
            <w:spacing w:before="120" w:after="60"/>
          </w:pPr>
          <w:hyperlink w:anchor="_Toc100075" w:history="1">
            <w:r>
              <w:rPr>
                <w:rStyle w:val="Hyperlink"/>
              </w:rPr>
              <w:t>10.2 Appendix B — API Route Map (Public + Auth + Admin)</w:t>
            </w:r>
            <w:r>
              <w:tab/>
            </w:r>
            <w:r>
              <w:fldChar w:fldCharType="begin"/>
            </w:r>
            <w:r>
              <w:instrText xml:space="preserve"> PAGEREF _Toc100075 \h </w:instrText>
            </w:r>
            <w:r>
              <w:fldChar w:fldCharType="separate"/>
            </w:r>
            <w:r>
              <w:t>34</w:t>
            </w:r>
            <w:r>
              <w:fldChar w:fldCharType="end"/>
            </w:r>
          </w:hyperlink>
        </w:p>
        <w:p>
          <w:pPr>
            <w:pStyle w:val="11"/>
            <w:ind w:left="360"/>
            <w:tabs>
              <w:tab w:val="right" w:leader="dot" w:pos="9026"/>
            </w:tabs>
            <w:spacing w:before="120" w:after="60"/>
          </w:pPr>
          <w:hyperlink w:anchor="_Toc100076" w:history="1">
            <w:r>
              <w:rPr>
                <w:rStyle w:val="Hyperlink"/>
              </w:rPr>
              <w:t>10.3 Appendix C — Role Permission Matrix</w:t>
            </w:r>
            <w:r>
              <w:tab/>
            </w:r>
            <w:r>
              <w:fldChar w:fldCharType="begin"/>
            </w:r>
            <w:r>
              <w:instrText xml:space="preserve"> PAGEREF _Toc100076 \h </w:instrText>
            </w:r>
            <w:r>
              <w:fldChar w:fldCharType="separate"/>
            </w:r>
            <w:r>
              <w:t>34</w:t>
            </w:r>
            <w:r>
              <w:fldChar w:fldCharType="end"/>
            </w:r>
          </w:hyperlink>
        </w:p>
        <w:p>
          <w:pPr>
            <w:pStyle w:val="11"/>
            <w:ind w:left="360"/>
            <w:tabs>
              <w:tab w:val="right" w:leader="dot" w:pos="9026"/>
            </w:tabs>
            <w:spacing w:before="120" w:after="60"/>
          </w:pPr>
          <w:hyperlink w:anchor="_Toc100077" w:history="1">
            <w:r>
              <w:rPr>
                <w:rStyle w:val="Hyperlink"/>
              </w:rPr>
              <w:t>10.4 Appendix D — Glossary</w:t>
            </w:r>
            <w:r>
              <w:tab/>
            </w:r>
            <w:r>
              <w:fldChar w:fldCharType="begin"/>
            </w:r>
            <w:r>
              <w:instrText xml:space="preserve"> PAGEREF _Toc100077 \h </w:instrText>
            </w:r>
            <w:r>
              <w:fldChar w:fldCharType="separate"/>
            </w:r>
            <w:r>
              <w:t>34</w:t>
            </w:r>
            <w:r>
              <w:fldChar w:fldCharType="end"/>
            </w:r>
          </w:hyperlink>
        </w:p>
        <w:p>
          <w:pPr>
            <w:pStyle w:val="11"/>
            <w:ind w:left="360"/>
            <w:tabs>
              <w:tab w:val="right" w:leader="dot" w:pos="9026"/>
            </w:tabs>
            <w:spacing w:before="120" w:after="60"/>
          </w:pPr>
          <w:hyperlink w:anchor="_Toc100078" w:history="1">
            <w:r>
              <w:rPr>
                <w:rStyle w:val="Hyperlink"/>
              </w:rPr>
              <w:t>10.5 Appendix E — File Manifest (Deployment-Critical)</w:t>
            </w:r>
            <w:r>
              <w:tab/>
            </w:r>
            <w:r>
              <w:fldChar w:fldCharType="begin"/>
            </w:r>
            <w:r>
              <w:instrText xml:space="preserve"> PAGEREF _Toc100078 \h </w:instrText>
            </w:r>
            <w:r>
              <w:fldChar w:fldCharType="separate"/>
            </w:r>
            <w:r>
              <w:t>35</w:t>
            </w:r>
            <w:r>
              <w:fldChar w:fldCharType="end"/>
            </w:r>
          </w:hyperlink>
        </w:p>
        <w:p>
          <w:r>
            <w:fldChar w:fldCharType="end"/>
          </w:r>
        </w:p>
      </w:sdtContent>
    </w:sdt>
    <w:p>
      <w:pPr>
        <w:spacing w:before="200"/>
      </w:pPr>
      <w:r>
        <w:rPr>
          <w:rFonts w:ascii="Calibri" w:eastAsia="Microsoft YaHei"/>
          <w:i/>
          <w:iCs/>
          <w:color w:val="888888"/>
          <w:sz w:val="18"/>
          <w:szCs w:val="18"/>
        </w:rPr>
        <w:t xml:space="preserve">Note: This Table of Contents is generated via field codes. To ensure page number accuracy after editing, please right-click the TOC and select “Update Field.”</w:t>
      </w:r>
    </w:p>
    <w:p>
      <w:r>
        <w:br w:type="page"/>
      </w:r>
    </w:p>
    <w:p>
      <w:pPr>
        <w:sectPr>
          <w:headerReference w:type="default" r:id="rId6"/>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60" w:before="400"/>
      </w:pPr>
      <w:bookmarkStart w:id="100000" w:name="_Toc100000"/>
      <w:r>
        <w:rPr>
          <w:rFonts w:ascii="Calibri" w:eastAsia="SimHei"/>
          <w:b/>
          <w:bCs/>
          <w:color w:val="0A1628"/>
          <w:sz w:val="34"/>
          <w:szCs w:val="34"/>
        </w:rPr>
        <w:t xml:space="preserve">1. Introduction</w:t>
      </w:r>
      <w:bookmarkEnd w:id="100000"/>
    </w:p>
    <w:p>
      <w:pPr>
        <w:pStyle w:val="Heading2"/>
        <w:spacing w:after="120" w:before="300"/>
      </w:pPr>
      <w:bookmarkStart w:id="100001" w:name="_Toc100001"/>
      <w:r>
        <w:rPr>
          <w:rFonts w:ascii="Calibri" w:eastAsia="SimHei"/>
          <w:b/>
          <w:bCs/>
          <w:color w:val="0A1628"/>
          <w:sz w:val="28"/>
          <w:szCs w:val="28"/>
        </w:rPr>
        <w:t xml:space="preserve">1.1 Purpose and Audience</w:t>
      </w:r>
      <w:bookmarkEnd w:id="100001"/>
    </w:p>
    <w:p>
      <w:pPr>
        <w:spacing w:after="120" w:line="312"/>
        <w:jc w:val="both"/>
      </w:pPr>
      <w:r>
        <w:rPr>
          <w:rFonts w:ascii="Calibri" w:eastAsia="Microsoft YaHei"/>
          <w:color w:val="1A2B40"/>
          <w:sz w:val="22"/>
          <w:szCs w:val="22"/>
        </w:rPr>
        <w:t xml:space="preserve">This manual is the complete operating guide for the </w:t>
      </w:r>
      <w:r>
        <w:rPr>
          <w:rFonts w:ascii="Calibri" w:eastAsia="Microsoft YaHei"/>
          <w:b/>
          <w:bCs/>
          <w:color w:val="0A1628"/>
          <w:sz w:val="22"/>
          <w:szCs w:val="22"/>
        </w:rPr>
        <w:t xml:space="preserve">TwinMOS Corporate Website Platform</w:t>
      </w:r>
      <w:r>
        <w:rPr>
          <w:rFonts w:ascii="Calibri" w:eastAsia="Microsoft YaHei"/>
          <w:color w:val="1A2B40"/>
          <w:sz w:val="22"/>
          <w:szCs w:val="22"/>
        </w:rPr>
        <w:t xml:space="preserve"> — the production content-management and e-commerce support system powering www.twinmos.com. It is written for two roles: the </w:t>
      </w:r>
      <w:r>
        <w:rPr>
          <w:rFonts w:ascii="Calibri" w:eastAsia="Microsoft YaHei"/>
          <w:b/>
          <w:bCs/>
          <w:color w:val="0A1628"/>
          <w:sz w:val="22"/>
          <w:szCs w:val="22"/>
        </w:rPr>
        <w:t xml:space="preserve">Webmaster</w:t>
      </w:r>
      <w:r>
        <w:rPr>
          <w:rFonts w:ascii="Calibri" w:eastAsia="Microsoft YaHei"/>
          <w:color w:val="1A2B40"/>
          <w:sz w:val="22"/>
          <w:szCs w:val="22"/>
        </w:rPr>
        <w:t xml:space="preserve">, who manages day-to-day content, products, leads and support through the admin console, and the </w:t>
      </w:r>
      <w:r>
        <w:rPr>
          <w:rFonts w:ascii="Calibri" w:eastAsia="Microsoft YaHei"/>
          <w:b/>
          <w:bCs/>
          <w:color w:val="0A1628"/>
          <w:sz w:val="22"/>
          <w:szCs w:val="22"/>
        </w:rPr>
        <w:t xml:space="preserve">Software Engineer</w:t>
      </w:r>
      <w:r>
        <w:rPr>
          <w:rFonts w:ascii="Calibri" w:eastAsia="Microsoft YaHei"/>
          <w:color w:val="1A2B40"/>
          <w:sz w:val="22"/>
          <w:szCs w:val="22"/>
        </w:rPr>
        <w:t xml:space="preserve">, who deploys, operates, monitors and troubleshoots the system end to end.</w:t>
      </w:r>
    </w:p>
    <w:p>
      <w:pPr>
        <w:spacing w:after="120" w:line="312"/>
        <w:jc w:val="both"/>
      </w:pPr>
      <w:r>
        <w:rPr>
          <w:rFonts w:ascii="Calibri" w:eastAsia="Microsoft YaHei"/>
          <w:color w:val="1A2B40"/>
          <w:sz w:val="22"/>
          <w:szCs w:val="22"/>
        </w:rPr>
        <w:t xml:space="preserve">The document covers every administrative module with step-by-step workflows, explains the technology stack and data flows, documents the public website features, and provides a complete cloud-deployment runbook that has been verified against the actual deploy artifacts shipped in the repository (nginx configuration, systemd unit, backup and restore scripts, and production environment templates).</w:t>
      </w:r>
    </w:p>
    <w:p>
      <w:pPr>
        <w:pStyle w:val="Heading2"/>
        <w:spacing w:after="120" w:before="300"/>
      </w:pPr>
      <w:bookmarkStart w:id="100002" w:name="_Toc100002"/>
      <w:r>
        <w:rPr>
          <w:rFonts w:ascii="Calibri" w:eastAsia="SimHei"/>
          <w:b/>
          <w:bCs/>
          <w:color w:val="0A1628"/>
          <w:sz w:val="28"/>
          <w:szCs w:val="28"/>
        </w:rPr>
        <w:t xml:space="preserve">1.2 System at a Glance</w:t>
      </w:r>
      <w:bookmarkEnd w:id="100002"/>
    </w:p>
    <w:tbl>
      <w:tblPr>
        <w:tblW w:type="dxa" w:w="9200"/>
        <w:tblBorders>
          <w:top w:val="single" w:color="D5DDE7" w:sz="4"/>
          <w:left w:val="single" w:color="D5DDE7" w:sz="4"/>
          <w:bottom w:val="single" w:color="D5DDE7" w:sz="4"/>
          <w:right w:val="single" w:color="D5DDE7" w:sz="4"/>
          <w:insideH w:val="single" w:color="E6EBF1" w:sz="2"/>
          <w:insideV w:val="single" w:color="E6EBF1" w:sz="2"/>
        </w:tblBorders>
        <w:tblLayout w:type="fixed"/>
      </w:tblPr>
      <w:tblGrid>
        <w:gridCol w:w="2600"/>
        <w:gridCol w:w="6600"/>
      </w:tblGrid>
      <w:tr>
        <w:trPr>
          <w:cantSplit/>
          <w:tblHeader/>
        </w:trPr>
        <w:tc>
          <w:tcPr>
            <w:tcW w:type="dxa" w:w="2600"/>
            <w:shd w:fill="0A1628" w:val="clear"/>
            <w:tcMar>
              <w:top w:type="dxa" w:w="80"/>
              <w:left w:type="dxa" w:w="120"/>
              <w:bottom w:type="dxa" w:w="80"/>
              <w:right w:type="dxa" w:w="120"/>
            </w:tcMar>
            <w:vAlign w:val="center"/>
          </w:tcPr>
          <w:p>
            <w:r>
              <w:rPr>
                <w:rFonts w:ascii="Calibri" w:eastAsia="Microsoft YaHei"/>
                <w:b/>
                <w:bCs/>
                <w:color w:val="FFFFFF"/>
                <w:sz w:val="19"/>
                <w:szCs w:val="19"/>
              </w:rPr>
              <w:t xml:space="preserve">Attribute</w:t>
            </w:r>
          </w:p>
        </w:tc>
        <w:tc>
          <w:tcPr>
            <w:tcW w:type="dxa" w:w="6600"/>
            <w:shd w:fill="0A1628" w:val="clear"/>
            <w:tcMar>
              <w:top w:type="dxa" w:w="80"/>
              <w:left w:type="dxa" w:w="120"/>
              <w:bottom w:type="dxa" w:w="80"/>
              <w:right w:type="dxa" w:w="120"/>
            </w:tcMar>
            <w:vAlign w:val="center"/>
          </w:tcPr>
          <w:p>
            <w:r>
              <w:rPr>
                <w:rFonts w:ascii="Calibri" w:eastAsia="Microsoft YaHei"/>
                <w:b/>
                <w:bCs/>
                <w:color w:val="FFFFFF"/>
                <w:sz w:val="19"/>
                <w:szCs w:val="19"/>
              </w:rPr>
              <w:t xml:space="preserve">Value</w:t>
            </w:r>
          </w:p>
        </w:tc>
      </w:tr>
      <w:tr>
        <w:trPr>
          <w:cantSplit/>
        </w:trPr>
        <w:tc>
          <w:tcPr>
            <w:tcW w:type="dxa" w:w="2600"/>
            <w:shd w:fill="FFFFFF" w:val="clear"/>
            <w:tcMar>
              <w:top w:type="dxa" w:w="60"/>
              <w:left w:type="dxa" w:w="120"/>
              <w:bottom w:type="dxa" w:w="60"/>
              <w:right w:type="dxa" w:w="120"/>
            </w:tcMar>
          </w:tcPr>
          <w:p>
            <w:r>
              <w:rPr>
                <w:rFonts w:ascii="Calibri" w:eastAsia="Microsoft YaHei"/>
                <w:color w:val="1A2B40"/>
                <w:sz w:val="19"/>
                <w:szCs w:val="19"/>
              </w:rPr>
              <w:t xml:space="preserve">Product name</w:t>
            </w:r>
          </w:p>
        </w:tc>
        <w:tc>
          <w:tcPr>
            <w:tcW w:type="dxa" w:w="6600"/>
            <w:shd w:fill="FFFFFF" w:val="clear"/>
            <w:tcMar>
              <w:top w:type="dxa" w:w="60"/>
              <w:left w:type="dxa" w:w="120"/>
              <w:bottom w:type="dxa" w:w="60"/>
              <w:right w:type="dxa" w:w="120"/>
            </w:tcMar>
          </w:tcPr>
          <w:p>
            <w:r>
              <w:rPr>
                <w:rFonts w:ascii="Calibri" w:eastAsia="Microsoft YaHei"/>
                <w:color w:val="1A2B40"/>
                <w:sz w:val="19"/>
                <w:szCs w:val="19"/>
              </w:rPr>
              <w:t xml:space="preserve">TwinMOS Platform (monorepo: twinmos-platform)</w:t>
            </w:r>
          </w:p>
        </w:tc>
      </w:tr>
      <w:tr>
        <w:trPr>
          <w:cantSplit/>
        </w:trPr>
        <w:tc>
          <w:tcPr>
            <w:tcW w:type="dxa" w:w="2600"/>
            <w:shd w:fill="F4F8FC" w:val="clear"/>
            <w:tcMar>
              <w:top w:type="dxa" w:w="60"/>
              <w:left w:type="dxa" w:w="120"/>
              <w:bottom w:type="dxa" w:w="60"/>
              <w:right w:type="dxa" w:w="120"/>
            </w:tcMar>
          </w:tcPr>
          <w:p>
            <w:r>
              <w:rPr>
                <w:rFonts w:ascii="Calibri" w:eastAsia="Microsoft YaHei"/>
                <w:color w:val="1A2B40"/>
                <w:sz w:val="19"/>
                <w:szCs w:val="19"/>
              </w:rPr>
              <w:t xml:space="preserve">Version</w:t>
            </w:r>
          </w:p>
        </w:tc>
        <w:tc>
          <w:tcPr>
            <w:tcW w:type="dxa" w:w="6600"/>
            <w:shd w:fill="F4F8FC" w:val="clear"/>
            <w:tcMar>
              <w:top w:type="dxa" w:w="60"/>
              <w:left w:type="dxa" w:w="120"/>
              <w:bottom w:type="dxa" w:w="60"/>
              <w:right w:type="dxa" w:w="120"/>
            </w:tcMar>
          </w:tcPr>
          <w:p>
            <w:r>
              <w:rPr>
                <w:rFonts w:ascii="Calibri" w:eastAsia="Microsoft YaHei"/>
                <w:color w:val="1A2B40"/>
                <w:sz w:val="19"/>
                <w:szCs w:val="19"/>
              </w:rPr>
              <w:t xml:space="preserve">0.3.0 (API reported at /api/v1/health)</w:t>
            </w:r>
          </w:p>
        </w:tc>
      </w:tr>
      <w:tr>
        <w:trPr>
          <w:cantSplit/>
        </w:trPr>
        <w:tc>
          <w:tcPr>
            <w:tcW w:type="dxa" w:w="2600"/>
            <w:shd w:fill="FFFFFF" w:val="clear"/>
            <w:tcMar>
              <w:top w:type="dxa" w:w="60"/>
              <w:left w:type="dxa" w:w="120"/>
              <w:bottom w:type="dxa" w:w="60"/>
              <w:right w:type="dxa" w:w="120"/>
            </w:tcMar>
          </w:tcPr>
          <w:p>
            <w:r>
              <w:rPr>
                <w:rFonts w:ascii="Calibri" w:eastAsia="Microsoft YaHei"/>
                <w:color w:val="1A2B40"/>
                <w:sz w:val="19"/>
                <w:szCs w:val="19"/>
              </w:rPr>
              <w:t xml:space="preserve">Public pages</w:t>
            </w:r>
          </w:p>
        </w:tc>
        <w:tc>
          <w:tcPr>
            <w:tcW w:type="dxa" w:w="6600"/>
            <w:shd w:fill="FFFFFF" w:val="clear"/>
            <w:tcMar>
              <w:top w:type="dxa" w:w="60"/>
              <w:left w:type="dxa" w:w="120"/>
              <w:bottom w:type="dxa" w:w="60"/>
              <w:right w:type="dxa" w:w="120"/>
            </w:tcMar>
          </w:tcPr>
          <w:p>
            <w:r>
              <w:rPr>
                <w:rFonts w:ascii="Calibri" w:eastAsia="Microsoft YaHei"/>
                <w:color w:val="1A2B40"/>
                <w:sz w:val="19"/>
                <w:szCs w:val="19"/>
              </w:rPr>
              <w:t xml:space="preserve">28 routes (~380 EN routes incl. localized)</w:t>
            </w:r>
          </w:p>
        </w:tc>
      </w:tr>
      <w:tr>
        <w:trPr>
          <w:cantSplit/>
        </w:trPr>
        <w:tc>
          <w:tcPr>
            <w:tcW w:type="dxa" w:w="2600"/>
            <w:shd w:fill="F4F8FC" w:val="clear"/>
            <w:tcMar>
              <w:top w:type="dxa" w:w="60"/>
              <w:left w:type="dxa" w:w="120"/>
              <w:bottom w:type="dxa" w:w="60"/>
              <w:right w:type="dxa" w:w="120"/>
            </w:tcMar>
          </w:tcPr>
          <w:p>
            <w:r>
              <w:rPr>
                <w:rFonts w:ascii="Calibri" w:eastAsia="Microsoft YaHei"/>
                <w:color w:val="1A2B40"/>
                <w:sz w:val="19"/>
                <w:szCs w:val="19"/>
              </w:rPr>
              <w:t xml:space="preserve">Admin modules</w:t>
            </w:r>
          </w:p>
        </w:tc>
        <w:tc>
          <w:tcPr>
            <w:tcW w:type="dxa" w:w="6600"/>
            <w:shd w:fill="F4F8FC" w:val="clear"/>
            <w:tcMar>
              <w:top w:type="dxa" w:w="60"/>
              <w:left w:type="dxa" w:w="120"/>
              <w:bottom w:type="dxa" w:w="60"/>
              <w:right w:type="dxa" w:w="120"/>
            </w:tcMar>
          </w:tcPr>
          <w:p>
            <w:r>
              <w:rPr>
                <w:rFonts w:ascii="Calibri" w:eastAsia="Microsoft YaHei"/>
                <w:color w:val="1A2B40"/>
                <w:sz w:val="19"/>
                <w:szCs w:val="19"/>
              </w:rPr>
              <w:t xml:space="preserve">15 modules across 9 groups</w:t>
            </w:r>
          </w:p>
        </w:tc>
      </w:tr>
      <w:tr>
        <w:trPr>
          <w:cantSplit/>
        </w:trPr>
        <w:tc>
          <w:tcPr>
            <w:tcW w:type="dxa" w:w="2600"/>
            <w:shd w:fill="FFFFFF" w:val="clear"/>
            <w:tcMar>
              <w:top w:type="dxa" w:w="60"/>
              <w:left w:type="dxa" w:w="120"/>
              <w:bottom w:type="dxa" w:w="60"/>
              <w:right w:type="dxa" w:w="120"/>
            </w:tcMar>
          </w:tcPr>
          <w:p>
            <w:r>
              <w:rPr>
                <w:rFonts w:ascii="Calibri" w:eastAsia="Microsoft YaHei"/>
                <w:color w:val="1A2B40"/>
                <w:sz w:val="19"/>
                <w:szCs w:val="19"/>
              </w:rPr>
              <w:t xml:space="preserve">Database tables</w:t>
            </w:r>
          </w:p>
        </w:tc>
        <w:tc>
          <w:tcPr>
            <w:tcW w:type="dxa" w:w="6600"/>
            <w:shd w:fill="FFFFFF" w:val="clear"/>
            <w:tcMar>
              <w:top w:type="dxa" w:w="60"/>
              <w:left w:type="dxa" w:w="120"/>
              <w:bottom w:type="dxa" w:w="60"/>
              <w:right w:type="dxa" w:w="120"/>
            </w:tcMar>
          </w:tcPr>
          <w:p>
            <w:r>
              <w:rPr>
                <w:rFonts w:ascii="Calibri" w:eastAsia="Microsoft YaHei"/>
                <w:color w:val="1A2B40"/>
                <w:sz w:val="19"/>
                <w:szCs w:val="19"/>
              </w:rPr>
              <w:t xml:space="preserve">36 tables, 4 enums</w:t>
            </w:r>
          </w:p>
        </w:tc>
      </w:tr>
      <w:tr>
        <w:trPr>
          <w:cantSplit/>
        </w:trPr>
        <w:tc>
          <w:tcPr>
            <w:tcW w:type="dxa" w:w="2600"/>
            <w:shd w:fill="F4F8FC" w:val="clear"/>
            <w:tcMar>
              <w:top w:type="dxa" w:w="60"/>
              <w:left w:type="dxa" w:w="120"/>
              <w:bottom w:type="dxa" w:w="60"/>
              <w:right w:type="dxa" w:w="120"/>
            </w:tcMar>
          </w:tcPr>
          <w:p>
            <w:r>
              <w:rPr>
                <w:rFonts w:ascii="Calibri" w:eastAsia="Microsoft YaHei"/>
                <w:color w:val="1A2B40"/>
                <w:sz w:val="19"/>
                <w:szCs w:val="19"/>
              </w:rPr>
              <w:t xml:space="preserve">Automated tests</w:t>
            </w:r>
          </w:p>
        </w:tc>
        <w:tc>
          <w:tcPr>
            <w:tcW w:type="dxa" w:w="6600"/>
            <w:shd w:fill="F4F8FC" w:val="clear"/>
            <w:tcMar>
              <w:top w:type="dxa" w:w="60"/>
              <w:left w:type="dxa" w:w="120"/>
              <w:bottom w:type="dxa" w:w="60"/>
              <w:right w:type="dxa" w:w="120"/>
            </w:tcMar>
          </w:tcPr>
          <w:p>
            <w:r>
              <w:rPr>
                <w:rFonts w:ascii="Calibri" w:eastAsia="Microsoft YaHei"/>
                <w:color w:val="1A2B40"/>
                <w:sz w:val="19"/>
                <w:szCs w:val="19"/>
              </w:rPr>
              <w:t xml:space="preserve">253 end-to-end + unit tests (26 suites)</w:t>
            </w:r>
          </w:p>
        </w:tc>
      </w:tr>
      <w:tr>
        <w:trPr>
          <w:cantSplit/>
        </w:trPr>
        <w:tc>
          <w:tcPr>
            <w:tcW w:type="dxa" w:w="2600"/>
            <w:shd w:fill="FFFFFF" w:val="clear"/>
            <w:tcMar>
              <w:top w:type="dxa" w:w="60"/>
              <w:left w:type="dxa" w:w="120"/>
              <w:bottom w:type="dxa" w:w="60"/>
              <w:right w:type="dxa" w:w="120"/>
            </w:tcMar>
          </w:tcPr>
          <w:p>
            <w:r>
              <w:rPr>
                <w:rFonts w:ascii="Calibri" w:eastAsia="Microsoft YaHei"/>
                <w:color w:val="1A2B40"/>
                <w:sz w:val="19"/>
                <w:szCs w:val="19"/>
              </w:rPr>
              <w:t xml:space="preserve">Security gates</w:t>
            </w:r>
          </w:p>
        </w:tc>
        <w:tc>
          <w:tcPr>
            <w:tcW w:type="dxa" w:w="6600"/>
            <w:shd w:fill="FFFFFF" w:val="clear"/>
            <w:tcMar>
              <w:top w:type="dxa" w:w="60"/>
              <w:left w:type="dxa" w:w="120"/>
              <w:bottom w:type="dxa" w:w="60"/>
              <w:right w:type="dxa" w:w="120"/>
            </w:tcMar>
          </w:tcPr>
          <w:p>
            <w:r>
              <w:rPr>
                <w:rFonts w:ascii="Calibri" w:eastAsia="Microsoft YaHei"/>
                <w:color w:val="1A2B40"/>
                <w:sz w:val="19"/>
                <w:szCs w:val="19"/>
              </w:rPr>
              <w:t xml:space="preserve">OWASP-equivalent local scan: 14 check classes, 0 findings</w:t>
            </w:r>
          </w:p>
        </w:tc>
      </w:tr>
      <w:tr>
        <w:trPr>
          <w:cantSplit/>
        </w:trPr>
        <w:tc>
          <w:tcPr>
            <w:tcW w:type="dxa" w:w="2600"/>
            <w:shd w:fill="F4F8FC" w:val="clear"/>
            <w:tcMar>
              <w:top w:type="dxa" w:w="60"/>
              <w:left w:type="dxa" w:w="120"/>
              <w:bottom w:type="dxa" w:w="60"/>
              <w:right w:type="dxa" w:w="120"/>
            </w:tcMar>
          </w:tcPr>
          <w:p>
            <w:r>
              <w:rPr>
                <w:rFonts w:ascii="Calibri" w:eastAsia="Microsoft YaHei"/>
                <w:color w:val="1A2B40"/>
                <w:sz w:val="19"/>
                <w:szCs w:val="19"/>
              </w:rPr>
              <w:t xml:space="preserve">Deployment topology</w:t>
            </w:r>
          </w:p>
        </w:tc>
        <w:tc>
          <w:tcPr>
            <w:tcW w:type="dxa" w:w="6600"/>
            <w:shd w:fill="F4F8FC" w:val="clear"/>
            <w:tcMar>
              <w:top w:type="dxa" w:w="60"/>
              <w:left w:type="dxa" w:w="120"/>
              <w:bottom w:type="dxa" w:w="60"/>
              <w:right w:type="dxa" w:w="120"/>
            </w:tcMar>
          </w:tcPr>
          <w:p>
            <w:r>
              <w:rPr>
                <w:rFonts w:ascii="Calibri" w:eastAsia="Microsoft YaHei"/>
                <w:color w:val="1A2B40"/>
                <w:sz w:val="19"/>
                <w:szCs w:val="19"/>
              </w:rPr>
              <w:t xml:space="preserve">Cloudflare TLS/WAF → nginx → static web + admin + Node API → PostgreSQL 16</w:t>
            </w:r>
          </w:p>
        </w:tc>
      </w:tr>
    </w:tbl>
    <w:p>
      <w:pPr>
        <w:spacing w:after="120"/>
      </w:pPr>
    </w:p>
    <w:p>
      <w:pPr>
        <w:pStyle w:val="Heading2"/>
        <w:spacing w:after="120" w:before="300"/>
      </w:pPr>
      <w:bookmarkStart w:id="100003" w:name="_Toc100003"/>
      <w:r>
        <w:rPr>
          <w:rFonts w:ascii="Calibri" w:eastAsia="SimHei"/>
          <w:b/>
          <w:bCs/>
          <w:color w:val="0A1628"/>
          <w:sz w:val="28"/>
          <w:szCs w:val="28"/>
        </w:rPr>
        <w:t xml:space="preserve">1.3 Document Conventions</w:t>
      </w:r>
      <w:bookmarkEnd w:id="100003"/>
    </w:p>
    <w:p>
      <w:pPr>
        <w:pStyle w:val="ListParagraph"/>
        <w:numPr>
          <w:ilvl w:val="0"/>
          <w:numId w:val="2"/>
        </w:numPr>
        <w:spacing w:after="60" w:line="312"/>
      </w:pPr>
      <w:r>
        <w:rPr>
          <w:rFonts w:ascii="Courier New" w:eastAsia="Microsoft YaHei"/>
          <w:color w:val="0E9F7E"/>
          <w:sz w:val="19"/>
          <w:szCs w:val="19"/>
        </w:rPr>
        <w:t xml:space="preserve">monospace</w:t>
      </w:r>
      <w:r>
        <w:rPr>
          <w:rFonts w:ascii="Calibri" w:eastAsia="Microsoft YaHei"/>
          <w:color w:val="1A2B40"/>
          <w:sz w:val="22"/>
          <w:szCs w:val="22"/>
        </w:rPr>
        <w:t xml:space="preserve"> — file paths, commands, URLs and configuration keys.</w:t>
      </w:r>
    </w:p>
    <w:p>
      <w:pPr>
        <w:pStyle w:val="ListParagraph"/>
        <w:numPr>
          <w:ilvl w:val="0"/>
          <w:numId w:val="2"/>
        </w:numPr>
        <w:spacing w:after="60" w:line="312"/>
      </w:pPr>
      <w:r>
        <w:rPr>
          <w:rFonts w:ascii="Calibri" w:eastAsia="Microsoft YaHei"/>
          <w:b/>
          <w:bCs/>
          <w:color w:val="0A1628"/>
          <w:sz w:val="22"/>
          <w:szCs w:val="22"/>
        </w:rPr>
        <w:t xml:space="preserve">Bold</w:t>
      </w:r>
      <w:r>
        <w:rPr>
          <w:rFonts w:ascii="Calibri" w:eastAsia="Microsoft YaHei"/>
          <w:color w:val="1A2B40"/>
          <w:sz w:val="22"/>
          <w:szCs w:val="22"/>
        </w:rPr>
        <w:t xml:space="preserve"> — UI labels, buttons and first-use terms.</w:t>
      </w:r>
    </w:p>
    <w:p>
      <w:pPr>
        <w:pStyle w:val="ListParagraph"/>
        <w:numPr>
          <w:ilvl w:val="0"/>
          <w:numId w:val="2"/>
        </w:numPr>
        <w:spacing w:after="60" w:line="312"/>
      </w:pPr>
      <w:r>
        <w:rPr>
          <w:rFonts w:ascii="Calibri" w:eastAsia="Microsoft YaHei"/>
          <w:color w:val="1A2B40"/>
          <w:sz w:val="22"/>
          <w:szCs w:val="22"/>
        </w:rPr>
        <w:t xml:space="preserve">Callout boxes marked </w:t>
      </w:r>
      <w:r>
        <w:rPr>
          <w:rFonts w:ascii="Calibri" w:eastAsia="Microsoft YaHei"/>
          <w:b/>
          <w:bCs/>
          <w:color w:val="0A1628"/>
          <w:sz w:val="22"/>
          <w:szCs w:val="22"/>
        </w:rPr>
        <w:t xml:space="preserve">NOTE / IMPORTANT / WARNING</w:t>
      </w:r>
      <w:r>
        <w:rPr>
          <w:rFonts w:ascii="Calibri" w:eastAsia="Microsoft YaHei"/>
          <w:color w:val="1A2B40"/>
          <w:sz w:val="22"/>
          <w:szCs w:val="22"/>
        </w:rPr>
        <w:t xml:space="preserve"> — operational guardrails; the WARNING boxes describe actions that can cause data loss or outage.</w:t>
      </w:r>
    </w:p>
    <w:p>
      <w:pPr>
        <w:pStyle w:val="ListParagraph"/>
        <w:numPr>
          <w:ilvl w:val="0"/>
          <w:numId w:val="2"/>
        </w:numPr>
        <w:spacing w:after="60" w:line="312"/>
      </w:pPr>
      <w:r>
        <w:rPr>
          <w:rFonts w:ascii="Calibri" w:eastAsia="Microsoft YaHei"/>
          <w:color w:val="1A2B40"/>
          <w:sz w:val="22"/>
          <w:szCs w:val="22"/>
        </w:rPr>
        <w:t xml:space="preserve">Exhibits are numbered screenshots captured from the live system.</w:t>
      </w:r>
    </w:p>
    <w:p>
      <w:pPr>
        <w:pStyle w:val="Heading2"/>
        <w:spacing w:after="120" w:before="300"/>
      </w:pPr>
      <w:bookmarkStart w:id="100004" w:name="_Toc100004"/>
      <w:r>
        <w:rPr>
          <w:rFonts w:ascii="Calibri" w:eastAsia="SimHei"/>
          <w:b/>
          <w:bCs/>
          <w:color w:val="0A1628"/>
          <w:sz w:val="28"/>
          <w:szCs w:val="28"/>
        </w:rPr>
        <w:t xml:space="preserve">1.4 Related Repository Documents</w:t>
      </w:r>
      <w:bookmarkEnd w:id="100004"/>
    </w:p>
    <w:p>
      <w:pPr>
        <w:spacing w:after="120" w:line="312"/>
        <w:jc w:val="both"/>
      </w:pPr>
      <w:r>
        <w:rPr>
          <w:rFonts w:ascii="Calibri" w:eastAsia="Microsoft YaHei"/>
          <w:color w:val="1A2B40"/>
          <w:sz w:val="22"/>
          <w:szCs w:val="22"/>
        </w:rPr>
        <w:t xml:space="preserve">The repository ships an internal documentation set under twinmso_codebase/docs/ that this manual complements: the Master Build Plan (00), Architecture (01), API Specification (02), Database Schema (03), Admin/CMS Specification (04), Prototype Migration Guide (05), Admin Console Plan (08), seven phase-evidence files, and operational runbooks (DEPLOY.md, DR.md, HYPERCARE.md) under docs/runbooks/. Where this manual summarizes a procedure, the runbook remains the authoritative source of record.</w:t>
      </w:r>
    </w:p>
    <w:p>
      <w:pPr>
        <w:pStyle w:val="Heading1"/>
        <w:spacing w:after="160" w:before="400"/>
      </w:pPr>
      <w:bookmarkStart w:id="100005" w:name="_Toc100005"/>
      <w:r>
        <w:rPr>
          <w:rFonts w:ascii="Calibri" w:eastAsia="SimHei"/>
          <w:b/>
          <w:bCs/>
          <w:color w:val="0A1628"/>
          <w:sz w:val="34"/>
          <w:szCs w:val="34"/>
        </w:rPr>
        <w:t xml:space="preserve">2. System Overview</w:t>
      </w:r>
      <w:bookmarkEnd w:id="100005"/>
    </w:p>
    <w:p>
      <w:pPr>
        <w:pStyle w:val="Heading2"/>
        <w:spacing w:after="120" w:before="300"/>
      </w:pPr>
      <w:bookmarkStart w:id="100006" w:name="_Toc100006"/>
      <w:r>
        <w:rPr>
          <w:rFonts w:ascii="Calibri" w:eastAsia="SimHei"/>
          <w:b/>
          <w:bCs/>
          <w:color w:val="0A1628"/>
          <w:sz w:val="28"/>
          <w:szCs w:val="28"/>
        </w:rPr>
        <w:t xml:space="preserve">2.1 What the Platform Does</w:t>
      </w:r>
      <w:bookmarkEnd w:id="100006"/>
    </w:p>
    <w:p>
      <w:pPr>
        <w:spacing w:after="120" w:line="312"/>
        <w:jc w:val="both"/>
      </w:pPr>
      <w:r>
        <w:rPr>
          <w:rFonts w:ascii="Calibri" w:eastAsia="Microsoft YaHei"/>
          <w:color w:val="1A2B40"/>
          <w:sz w:val="22"/>
          <w:szCs w:val="22"/>
        </w:rPr>
        <w:t xml:space="preserve">The platform is a single integrated system with three deployable surfaces sharing one database:</w:t>
      </w:r>
    </w:p>
    <w:p>
      <w:pPr>
        <w:pStyle w:val="ListParagraph"/>
        <w:numPr>
          <w:ilvl w:val="0"/>
          <w:numId w:val="3"/>
        </w:numPr>
        <w:spacing w:after="60" w:line="312"/>
      </w:pPr>
      <w:r>
        <w:rPr>
          <w:rFonts w:ascii="Calibri" w:eastAsia="Microsoft YaHei"/>
          <w:b/>
          <w:bCs/>
          <w:color w:val="0A1628"/>
          <w:sz w:val="22"/>
          <w:szCs w:val="22"/>
        </w:rPr>
        <w:t xml:space="preserve">Public website</w:t>
      </w:r>
      <w:r>
        <w:rPr>
          <w:rFonts w:ascii="Calibri" w:eastAsia="Microsoft YaHei"/>
          <w:color w:val="1A2B40"/>
          <w:sz w:val="22"/>
          <w:szCs w:val="22"/>
        </w:rPr>
        <w:t xml:space="preserve"> (apps/web) — 28 pages: product catalog with faceted shop, product detail pages with warranty and specifications, compatibility finder, anti-counterfeit serial verification, RMA center with public case tracker, newsroom, learn hub, careers with live openings, where-to-buy distributor locator, contact and volume-quote forms. Served as a fully static build — no server-side rendering required.</w:t>
      </w:r>
    </w:p>
    <w:p>
      <w:pPr>
        <w:pStyle w:val="ListParagraph"/>
        <w:numPr>
          <w:ilvl w:val="0"/>
          <w:numId w:val="3"/>
        </w:numPr>
        <w:spacing w:after="60" w:line="312"/>
      </w:pPr>
      <w:r>
        <w:rPr>
          <w:rFonts w:ascii="Calibri" w:eastAsia="Microsoft YaHei"/>
          <w:b/>
          <w:bCs/>
          <w:color w:val="0A1628"/>
          <w:sz w:val="22"/>
          <w:szCs w:val="22"/>
        </w:rPr>
        <w:t xml:space="preserve">Admin console / CMS</w:t>
      </w:r>
      <w:r>
        <w:rPr>
          <w:rFonts w:ascii="Calibri" w:eastAsia="Microsoft YaHei"/>
          <w:color w:val="1A2B40"/>
          <w:sz w:val="22"/>
          <w:szCs w:val="22"/>
        </w:rPr>
        <w:t xml:space="preserve"> (apps/admin) — a React single-page application behind authentication with role-based access control (5 roles), two-factor authentication, and 15 modules covering content, catalog, leads, RMA, partners, careers, media, localization, users, audit and settings. Every mutation writes an audit-trail row.</w:t>
      </w:r>
    </w:p>
    <w:p>
      <w:pPr>
        <w:pStyle w:val="ListParagraph"/>
        <w:numPr>
          <w:ilvl w:val="0"/>
          <w:numId w:val="3"/>
        </w:numPr>
        <w:spacing w:after="60" w:line="312"/>
      </w:pPr>
      <w:r>
        <w:rPr>
          <w:rFonts w:ascii="Calibri" w:eastAsia="Microsoft YaHei"/>
          <w:b/>
          <w:bCs/>
          <w:color w:val="0A1628"/>
          <w:sz w:val="22"/>
          <w:szCs w:val="22"/>
        </w:rPr>
        <w:t xml:space="preserve">REST API</w:t>
      </w:r>
      <w:r>
        <w:rPr>
          <w:rFonts w:ascii="Calibri" w:eastAsia="Microsoft YaHei"/>
          <w:color w:val="1A2B40"/>
          <w:sz w:val="22"/>
          <w:szCs w:val="22"/>
        </w:rPr>
        <w:t xml:space="preserve"> (apps/api) — a Hono service on Node 24 exposing /api/v1: authentication (Better Auth), 15 public form types, RMA lifecycle, anti-counterfeit SN-check, i18n bundles, partner portal, and the full admin CRUD surface with Zod-validated contracts and RFC 9457 problem-detail error envelopes.</w:t>
      </w:r>
    </w:p>
    <w:p>
      <w:pPr>
        <w:spacing w:after="120" w:line="312"/>
        <w:jc w:val="both"/>
      </w:pPr>
      <w:r>
        <w:rPr>
          <w:rFonts w:ascii="Calibri" w:eastAsia="Microsoft YaHei"/>
          <w:color w:val="1A2B40"/>
          <w:sz w:val="22"/>
          <w:szCs w:val="22"/>
        </w:rPr>
        <w:t xml:space="preserve">A deliberate architecture decision (ADR-006): </w:t>
      </w:r>
      <w:r>
        <w:rPr>
          <w:rFonts w:ascii="Calibri" w:eastAsia="Microsoft YaHei"/>
          <w:b/>
          <w:bCs/>
          <w:color w:val="0A1628"/>
          <w:sz w:val="22"/>
          <w:szCs w:val="22"/>
        </w:rPr>
        <w:t xml:space="preserve">no external CMS</w:t>
      </w:r>
      <w:r>
        <w:rPr>
          <w:rFonts w:ascii="Calibri" w:eastAsia="Microsoft YaHei"/>
          <w:color w:val="1A2B40"/>
          <w:sz w:val="22"/>
          <w:szCs w:val="22"/>
        </w:rPr>
        <w:t xml:space="preserve"> — the custom admin panel is the CMS, backed by the same schema. Content leaves the database through a build-time export bridge (cms-content.js) that the static site merges at runtime, so published changes appear on the website without a server-side render step.</w:t>
      </w:r>
    </w:p>
    <w:p>
      <w:pPr>
        <w:pStyle w:val="Heading2"/>
        <w:spacing w:after="120" w:before="300"/>
      </w:pPr>
      <w:bookmarkStart w:id="100007" w:name="_Toc100007"/>
      <w:r>
        <w:rPr>
          <w:rFonts w:ascii="Calibri" w:eastAsia="SimHei"/>
          <w:b/>
          <w:bCs/>
          <w:color w:val="0A1628"/>
          <w:sz w:val="28"/>
          <w:szCs w:val="28"/>
        </w:rPr>
        <w:t xml:space="preserve">2.2 The Public Website</w:t>
      </w:r>
      <w:bookmarkEnd w:id="100007"/>
    </w:p>
    <w:p>
      <w:pPr>
        <w:keepNext/>
        <w:spacing w:after="60" w:before="160"/>
        <w:jc w:val="center"/>
      </w:pPr>
      <w:r>
        <w:drawing>
          <wp:inline distT="0" distB="0" distL="0" distR="0">
            <wp:extent cx="5457825"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57825" cy="3076575"/>
                    </a:xfrm>
                    <a:prstGeom prst="rect">
                      <a:avLst/>
                    </a:prstGeom>
                  </pic:spPr>
                </pic:pic>
              </a:graphicData>
            </a:graphic>
          </wp:inline>
        </w:drawing>
      </w:r>
    </w:p>
    <w:p>
      <w:pPr>
        <w:pBdr>
          <w:top w:val="single" w:color="D5DDE7" w:sz="2" w:space="4"/>
        </w:pBdr>
        <w:spacing w:after="200"/>
        <w:jc w:val="center"/>
      </w:pPr>
      <w:r>
        <w:rPr>
          <w:rFonts w:ascii="Calibri" w:eastAsia="Microsoft YaHei"/>
          <w:i/>
          <w:iCs/>
          <w:color w:val="6878A0"/>
          <w:sz w:val="18"/>
          <w:szCs w:val="18"/>
        </w:rPr>
        <w:t xml:space="preserve">Exhibit 1. Public website home page (dev environment, http://localhost:4321/)</w:t>
      </w:r>
    </w:p>
    <w:p>
      <w:pPr>
        <w:spacing w:after="120" w:line="312"/>
        <w:jc w:val="both"/>
      </w:pPr>
      <w:r>
        <w:rPr>
          <w:rFonts w:ascii="Calibri" w:eastAsia="Microsoft YaHei"/>
          <w:color w:val="1A2B40"/>
          <w:sz w:val="22"/>
          <w:szCs w:val="22"/>
        </w:rPr>
        <w:t xml:space="preserve">The home page presents the brand story, featured product families and entry points to the shop, support center and compatibility finder. Navigation uses a mega-menu organized by product memory (Gaming / Desktop / Notebook DRAM), internal storage (NVMe / SATA SSD) and portable storage, mirroring the catalog taxonomy used throughout the admin console.</w:t>
      </w:r>
    </w:p>
    <w:p>
      <w:pPr>
        <w:pStyle w:val="Heading2"/>
        <w:spacing w:after="120" w:before="300"/>
      </w:pPr>
      <w:bookmarkStart w:id="100008" w:name="_Toc100008"/>
      <w:r>
        <w:rPr>
          <w:rFonts w:ascii="Calibri" w:eastAsia="SimHei"/>
          <w:b/>
          <w:bCs/>
          <w:color w:val="0A1628"/>
          <w:sz w:val="28"/>
          <w:szCs w:val="28"/>
        </w:rPr>
        <w:t xml:space="preserve">2.3 Key Public Features</w:t>
      </w:r>
      <w:bookmarkEnd w:id="100008"/>
    </w:p>
    <w:p>
      <w:pPr>
        <w:pStyle w:val="Heading3"/>
        <w:spacing w:after="100" w:before="240"/>
      </w:pPr>
      <w:bookmarkStart w:id="100009" w:name="_Toc100009"/>
      <w:r>
        <w:rPr>
          <w:rFonts w:ascii="Calibri" w:eastAsia="SimHei"/>
          <w:b/>
          <w:bCs/>
          <w:color w:val="1A2B40"/>
          <w:sz w:val="24"/>
          <w:szCs w:val="24"/>
        </w:rPr>
        <w:t xml:space="preserve">Product Catalog and Shop</w:t>
      </w:r>
      <w:bookmarkEnd w:id="100009"/>
    </w:p>
    <w:p>
      <w:pPr>
        <w:keepNext/>
        <w:spacing w:after="60" w:before="160"/>
        <w:jc w:val="center"/>
      </w:pPr>
      <w:r>
        <w:drawing>
          <wp:inline distT="0" distB="0" distL="0" distR="0">
            <wp:extent cx="5457825" cy="30765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57825" cy="3076575"/>
                    </a:xfrm>
                    <a:prstGeom prst="rect">
                      <a:avLst/>
                    </a:prstGeom>
                  </pic:spPr>
                </pic:pic>
              </a:graphicData>
            </a:graphic>
          </wp:inline>
        </w:drawing>
      </w:r>
    </w:p>
    <w:p>
      <w:pPr>
        <w:pBdr>
          <w:top w:val="single" w:color="D5DDE7" w:sz="2" w:space="4"/>
        </w:pBdr>
        <w:spacing w:after="200"/>
        <w:jc w:val="center"/>
      </w:pPr>
      <w:r>
        <w:rPr>
          <w:rFonts w:ascii="Calibri" w:eastAsia="Microsoft YaHei"/>
          <w:i/>
          <w:iCs/>
          <w:color w:val="6878A0"/>
          <w:sz w:val="18"/>
          <w:szCs w:val="18"/>
        </w:rPr>
        <w:t xml:space="preserve">Exhibit 2. Shop page — faceted product grid (40 live products)</w:t>
      </w:r>
    </w:p>
    <w:p>
      <w:pPr>
        <w:spacing w:after="120" w:line="312"/>
        <w:jc w:val="both"/>
      </w:pPr>
      <w:r>
        <w:rPr>
          <w:rFonts w:ascii="Calibri" w:eastAsia="Microsoft YaHei"/>
          <w:color w:val="1A2B40"/>
          <w:sz w:val="22"/>
          <w:szCs w:val="22"/>
        </w:rPr>
        <w:t xml:space="preserve">The shop renders every published product with category, generation, capacity, interface and form-factor facets inherited from the prototype's filter design. Products managed in the admin console (names, specifications, badges, warranty terms, imagery) flow to this grid through the CMS export bridge — a change made in the admin Products module appears on the site after the next content export (automatic in production builds; see §7 for the export pipeline).</w:t>
      </w:r>
    </w:p>
    <w:p>
      <w:pPr>
        <w:pStyle w:val="Heading3"/>
        <w:spacing w:after="100" w:before="240"/>
      </w:pPr>
      <w:bookmarkStart w:id="100010" w:name="_Toc100010"/>
      <w:r>
        <w:rPr>
          <w:rFonts w:ascii="Calibri" w:eastAsia="SimHei"/>
          <w:b/>
          <w:bCs/>
          <w:color w:val="1A2B40"/>
          <w:sz w:val="24"/>
          <w:szCs w:val="24"/>
        </w:rPr>
        <w:t xml:space="preserve">Product Detail with Warranty and Specifications</w:t>
      </w:r>
      <w:bookmarkEnd w:id="100010"/>
    </w:p>
    <w:p>
      <w:pPr>
        <w:keepNext/>
        <w:spacing w:after="60" w:before="160"/>
        <w:jc w:val="center"/>
      </w:pPr>
      <w:r>
        <w:drawing>
          <wp:inline distT="0" distB="0" distL="0" distR="0">
            <wp:extent cx="5457825" cy="30765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57825" cy="3076575"/>
                    </a:xfrm>
                    <a:prstGeom prst="rect">
                      <a:avLst/>
                    </a:prstGeom>
                  </pic:spPr>
                </pic:pic>
              </a:graphicData>
            </a:graphic>
          </wp:inline>
        </w:drawing>
      </w:r>
    </w:p>
    <w:p>
      <w:pPr>
        <w:pBdr>
          <w:top w:val="single" w:color="D5DDE7" w:sz="2" w:space="4"/>
        </w:pBdr>
        <w:spacing w:after="200"/>
        <w:jc w:val="center"/>
      </w:pPr>
      <w:r>
        <w:rPr>
          <w:rFonts w:ascii="Calibri" w:eastAsia="Microsoft YaHei"/>
          <w:i/>
          <w:iCs/>
          <w:color w:val="6878A0"/>
          <w:sz w:val="18"/>
          <w:szCs w:val="18"/>
        </w:rPr>
        <w:t xml:space="preserve">Exhibit 3. Product detail page — CMS-managed warranty chip, short spec line and hero image</w:t>
      </w:r>
    </w:p>
    <w:p>
      <w:pPr>
        <w:spacing w:after="120" w:line="312"/>
        <w:jc w:val="both"/>
      </w:pPr>
      <w:r>
        <w:rPr>
          <w:rFonts w:ascii="Calibri" w:eastAsia="Microsoft YaHei"/>
          <w:color w:val="1A2B40"/>
          <w:sz w:val="22"/>
          <w:szCs w:val="22"/>
        </w:rPr>
        <w:t xml:space="preserve">Each product page shows the marketing description, the specification table, the warranty term (for example, “Lifetime”), responsive image gallery and variant chips. All of these fields are managed in the admin Products editor; the warranty chip and short-specification line render from CMS data, and the hero image can be served from the API's public media route.</w:t>
      </w:r>
    </w:p>
    <w:p>
      <w:pPr>
        <w:pStyle w:val="Heading3"/>
        <w:spacing w:after="100" w:before="240"/>
      </w:pPr>
      <w:bookmarkStart w:id="100011" w:name="_Toc100011"/>
      <w:r>
        <w:rPr>
          <w:rFonts w:ascii="Calibri" w:eastAsia="SimHei"/>
          <w:b/>
          <w:bCs/>
          <w:color w:val="1A2B40"/>
          <w:sz w:val="24"/>
          <w:szCs w:val="24"/>
        </w:rPr>
        <w:t xml:space="preserve">Anti-Counterfeit Serial Verification (Warranty Check)</w:t>
      </w:r>
      <w:bookmarkEnd w:id="100011"/>
    </w:p>
    <w:p>
      <w:pPr>
        <w:keepNext/>
        <w:spacing w:after="60" w:before="160"/>
        <w:jc w:val="center"/>
      </w:pPr>
      <w:r>
        <w:drawing>
          <wp:inline distT="0" distB="0" distL="0" distR="0">
            <wp:extent cx="5457825" cy="30765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57825" cy="3076575"/>
                    </a:xfrm>
                    <a:prstGeom prst="rect">
                      <a:avLst/>
                    </a:prstGeom>
                  </pic:spPr>
                </pic:pic>
              </a:graphicData>
            </a:graphic>
          </wp:inline>
        </w:drawing>
      </w:r>
    </w:p>
    <w:p>
      <w:pPr>
        <w:pBdr>
          <w:top w:val="single" w:color="D5DDE7" w:sz="2" w:space="4"/>
        </w:pBdr>
        <w:spacing w:after="200"/>
        <w:jc w:val="center"/>
      </w:pPr>
      <w:r>
        <w:rPr>
          <w:rFonts w:ascii="Calibri" w:eastAsia="Microsoft YaHei"/>
          <w:i/>
          <w:iCs/>
          <w:color w:val="6878A0"/>
          <w:sz w:val="18"/>
          <w:szCs w:val="18"/>
        </w:rPr>
        <w:t xml:space="preserve">Exhibit 4. Serial-number verification on the Support page — genuine verdict with SKU and manufacture date</w:t>
      </w:r>
    </w:p>
    <w:p>
      <w:pPr>
        <w:spacing w:after="120" w:line="312"/>
        <w:jc w:val="both"/>
      </w:pPr>
      <w:r>
        <w:rPr>
          <w:rFonts w:ascii="Calibri" w:eastAsia="Microsoft YaHei"/>
          <w:color w:val="1A2B40"/>
          <w:sz w:val="22"/>
          <w:szCs w:val="22"/>
        </w:rPr>
        <w:t xml:space="preserve">On the Support page, customers expand the “Verify a product serial number” card and enter the serial printed on their module. The site calls POST /api/v1/sn-check, which looks the serial up in the factory registry, returns a genuine / not-verified verdict with SKU and manufacture date when found, and logs the check (IP, country) for the counterfeit anomaly scan the admin team runs. This is the customer-facing half of the brand-protection workflow described in §5.8.</w:t>
      </w:r>
    </w:p>
    <w:p>
      <w:pPr>
        <w:pStyle w:val="Heading3"/>
        <w:spacing w:after="100" w:before="240"/>
      </w:pPr>
      <w:bookmarkStart w:id="100012" w:name="_Toc100012"/>
      <w:r>
        <w:rPr>
          <w:rFonts w:ascii="Calibri" w:eastAsia="SimHei"/>
          <w:b/>
          <w:bCs/>
          <w:color w:val="1A2B40"/>
          <w:sz w:val="24"/>
          <w:szCs w:val="24"/>
        </w:rPr>
        <w:t xml:space="preserve">Compatibility Finder</w:t>
      </w:r>
      <w:bookmarkEnd w:id="100012"/>
    </w:p>
    <w:p>
      <w:pPr>
        <w:keepNext/>
        <w:spacing w:after="60" w:before="160"/>
        <w:jc w:val="center"/>
      </w:pPr>
      <w:r>
        <w:drawing>
          <wp:inline distT="0" distB="0" distL="0" distR="0">
            <wp:extent cx="5457825" cy="30765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57825" cy="3076575"/>
                    </a:xfrm>
                    <a:prstGeom prst="rect">
                      <a:avLst/>
                    </a:prstGeom>
                  </pic:spPr>
                </pic:pic>
              </a:graphicData>
            </a:graphic>
          </wp:inline>
        </w:drawing>
      </w:r>
    </w:p>
    <w:p>
      <w:pPr>
        <w:pBdr>
          <w:top w:val="single" w:color="D5DDE7" w:sz="2" w:space="4"/>
        </w:pBdr>
        <w:spacing w:after="200"/>
        <w:jc w:val="center"/>
      </w:pPr>
      <w:r>
        <w:rPr>
          <w:rFonts w:ascii="Calibri" w:eastAsia="Microsoft YaHei"/>
          <w:i/>
          <w:iCs/>
          <w:color w:val="6878A0"/>
          <w:sz w:val="18"/>
          <w:szCs w:val="18"/>
        </w:rPr>
        <w:t xml:space="preserve">Exhibit 5. Compatibility finder after selecting Laptop → Lenovo → IdeaPad Slim 3 (DDR4)</w:t>
      </w:r>
    </w:p>
    <w:p>
      <w:pPr>
        <w:spacing w:after="120" w:line="312"/>
        <w:jc w:val="both"/>
      </w:pPr>
      <w:r>
        <w:rPr>
          <w:rFonts w:ascii="Calibri" w:eastAsia="Microsoft YaHei"/>
          <w:color w:val="1A2B40"/>
          <w:sz w:val="22"/>
          <w:szCs w:val="22"/>
        </w:rPr>
        <w:t xml:space="preserve">The compatibility finder walks the customer through device type (Laptop / Desktop PC / Motherboard DIY / Mini PC), brand and model, then renders validated memory guidance — maximum capacity, slot count, supported speed, recommended product categories and the SSD upgrade path. The underlying rules are the QVL matrix maintained in the admin Compatibility module.</w:t>
      </w:r>
    </w:p>
    <w:p>
      <w:pPr>
        <w:pStyle w:val="Heading3"/>
        <w:spacing w:after="100" w:before="240"/>
      </w:pPr>
      <w:bookmarkStart w:id="100013" w:name="_Toc100013"/>
      <w:r>
        <w:rPr>
          <w:rFonts w:ascii="Calibri" w:eastAsia="SimHei"/>
          <w:b/>
          <w:bCs/>
          <w:color w:val="1A2B40"/>
          <w:sz w:val="24"/>
          <w:szCs w:val="24"/>
        </w:rPr>
        <w:t xml:space="preserve">Support, RMA and Forms</w:t>
      </w:r>
      <w:bookmarkEnd w:id="100013"/>
    </w:p>
    <w:p>
      <w:pPr>
        <w:keepNext/>
        <w:spacing w:after="60" w:before="160"/>
        <w:jc w:val="center"/>
      </w:pPr>
      <w:r>
        <w:drawing>
          <wp:inline distT="0" distB="0" distL="0" distR="0">
            <wp:extent cx="5457825" cy="30765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57825" cy="3076575"/>
                    </a:xfrm>
                    <a:prstGeom prst="rect">
                      <a:avLst/>
                    </a:prstGeom>
                  </pic:spPr>
                </pic:pic>
              </a:graphicData>
            </a:graphic>
          </wp:inline>
        </w:drawing>
      </w:r>
    </w:p>
    <w:p>
      <w:pPr>
        <w:pBdr>
          <w:top w:val="single" w:color="D5DDE7" w:sz="2" w:space="4"/>
        </w:pBdr>
        <w:spacing w:after="200"/>
        <w:jc w:val="center"/>
      </w:pPr>
      <w:r>
        <w:rPr>
          <w:rFonts w:ascii="Calibri" w:eastAsia="Microsoft YaHei"/>
          <w:i/>
          <w:iCs/>
          <w:color w:val="6878A0"/>
          <w:sz w:val="18"/>
          <w:szCs w:val="18"/>
        </w:rPr>
        <w:t xml:space="preserve">Exhibit 6. Support Center — knowledge base, RMA tracker and the serial-verification card</w:t>
      </w:r>
    </w:p>
    <w:p>
      <w:pPr>
        <w:spacing w:after="120" w:line="312"/>
        <w:jc w:val="both"/>
      </w:pPr>
      <w:r>
        <w:rPr>
          <w:rFonts w:ascii="Calibri" w:eastAsia="Microsoft YaHei"/>
          <w:color w:val="1A2B40"/>
          <w:sz w:val="22"/>
          <w:szCs w:val="22"/>
        </w:rPr>
        <w:t xml:space="preserve">The RMA Center lets customers submit a return request (which creates a tracked case with an RMA-2026-xxxxxx reference) and follow its status through the seven-state pipeline. Fifteen public form types (contact, quote, RMA, distributor application, job application, counterfeit report, and others) post to the API with mandatory privacy consent and Cloudflare Turnstile anti-spam protection in production.</w:t>
      </w:r>
    </w:p>
    <w:p>
      <w:pPr>
        <w:pStyle w:val="Heading3"/>
        <w:spacing w:after="100" w:before="240"/>
      </w:pPr>
      <w:bookmarkStart w:id="100014" w:name="_Toc100014"/>
      <w:r>
        <w:rPr>
          <w:rFonts w:ascii="Calibri" w:eastAsia="SimHei"/>
          <w:b/>
          <w:bCs/>
          <w:color w:val="1A2B40"/>
          <w:sz w:val="24"/>
          <w:szCs w:val="24"/>
        </w:rPr>
        <w:t xml:space="preserve">Careers and Where to Buy</w:t>
      </w:r>
      <w:bookmarkEnd w:id="100014"/>
    </w:p>
    <w:p>
      <w:pPr>
        <w:keepNext/>
        <w:spacing w:after="60" w:before="160"/>
        <w:jc w:val="center"/>
      </w:pPr>
      <w:r>
        <w:drawing>
          <wp:inline distT="0" distB="0" distL="0" distR="0">
            <wp:extent cx="5457825" cy="30765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57825" cy="3076575"/>
                    </a:xfrm>
                    <a:prstGeom prst="rect">
                      <a:avLst/>
                    </a:prstGeom>
                  </pic:spPr>
                </pic:pic>
              </a:graphicData>
            </a:graphic>
          </wp:inline>
        </w:drawing>
      </w:r>
    </w:p>
    <w:p>
      <w:pPr>
        <w:pBdr>
          <w:top w:val="single" w:color="D5DDE7" w:sz="2" w:space="4"/>
        </w:pBdr>
        <w:spacing w:after="200"/>
        <w:jc w:val="center"/>
      </w:pPr>
      <w:r>
        <w:rPr>
          <w:rFonts w:ascii="Calibri" w:eastAsia="Microsoft YaHei"/>
          <w:i/>
          <w:iCs/>
          <w:color w:val="6878A0"/>
          <w:sz w:val="18"/>
          <w:szCs w:val="18"/>
        </w:rPr>
        <w:t xml:space="preserve">Exhibit 7. Careers page — openings table including a CMS-published role with apply-by date</w:t>
      </w:r>
    </w:p>
    <w:p>
      <w:pPr>
        <w:keepNext/>
        <w:spacing w:after="60" w:before="160"/>
        <w:jc w:val="center"/>
      </w:pPr>
      <w:r>
        <w:drawing>
          <wp:inline distT="0" distB="0" distL="0" distR="0">
            <wp:extent cx="5457825" cy="30765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57825" cy="3076575"/>
                    </a:xfrm>
                    <a:prstGeom prst="rect">
                      <a:avLst/>
                    </a:prstGeom>
                  </pic:spPr>
                </pic:pic>
              </a:graphicData>
            </a:graphic>
          </wp:inline>
        </w:drawing>
      </w:r>
    </w:p>
    <w:p>
      <w:pPr>
        <w:pBdr>
          <w:top w:val="single" w:color="D5DDE7" w:sz="2" w:space="4"/>
        </w:pBdr>
        <w:spacing w:after="200"/>
        <w:jc w:val="center"/>
      </w:pPr>
      <w:r>
        <w:rPr>
          <w:rFonts w:ascii="Calibri" w:eastAsia="Microsoft YaHei"/>
          <w:i/>
          <w:iCs/>
          <w:color w:val="6878A0"/>
          <w:sz w:val="18"/>
          <w:szCs w:val="18"/>
        </w:rPr>
        <w:t xml:space="preserve">Exhibit 8. Where to Buy — country distributor locator with region filter chips</w:t>
      </w:r>
    </w:p>
    <w:p>
      <w:pPr>
        <w:spacing w:after="120" w:line="312"/>
        <w:jc w:val="both"/>
      </w:pPr>
      <w:r>
        <w:rPr>
          <w:rFonts w:ascii="Calibri" w:eastAsia="Microsoft YaHei"/>
          <w:color w:val="1A2B40"/>
          <w:sz w:val="22"/>
          <w:szCs w:val="22"/>
        </w:rPr>
        <w:t xml:space="preserve">The careers page lists published job postings (title, location, apply-by deadline, one-line summary and an apply link) — rows managed in the admin Careers module. The Where-to-Buy page is a country-by-country distributor locator with search, region chips and channel-status filters, fed by the directory the admin Partners module maintains; verified online marketplaces are listed in a parallel section.</w:t>
      </w:r>
    </w:p>
    <w:p>
      <w:pPr>
        <w:pStyle w:val="Heading1"/>
        <w:spacing w:after="160" w:before="400"/>
      </w:pPr>
      <w:bookmarkStart w:id="100015" w:name="_Toc100015"/>
      <w:r>
        <w:rPr>
          <w:rFonts w:ascii="Calibri" w:eastAsia="SimHei"/>
          <w:b/>
          <w:bCs/>
          <w:color w:val="0A1628"/>
          <w:sz w:val="34"/>
          <w:szCs w:val="34"/>
        </w:rPr>
        <w:t xml:space="preserve">3. Technology Stack</w:t>
      </w:r>
      <w:bookmarkEnd w:id="100015"/>
    </w:p>
    <w:p>
      <w:pPr>
        <w:pStyle w:val="Heading2"/>
        <w:spacing w:after="120" w:before="300"/>
      </w:pPr>
      <w:bookmarkStart w:id="100016" w:name="_Toc100016"/>
      <w:r>
        <w:rPr>
          <w:rFonts w:ascii="Calibri" w:eastAsia="SimHei"/>
          <w:b/>
          <w:bCs/>
          <w:color w:val="0A1628"/>
          <w:sz w:val="28"/>
          <w:szCs w:val="28"/>
        </w:rPr>
        <w:t xml:space="preserve">3.1 Stack Summary</w:t>
      </w:r>
      <w:bookmarkEnd w:id="100016"/>
    </w:p>
    <w:tbl>
      <w:tblPr>
        <w:tblW w:type="dxa" w:w="9200"/>
        <w:tblBorders>
          <w:top w:val="single" w:color="D5DDE7" w:sz="4"/>
          <w:left w:val="single" w:color="D5DDE7" w:sz="4"/>
          <w:bottom w:val="single" w:color="D5DDE7" w:sz="4"/>
          <w:right w:val="single" w:color="D5DDE7" w:sz="4"/>
          <w:insideH w:val="single" w:color="E6EBF1" w:sz="2"/>
          <w:insideV w:val="single" w:color="E6EBF1" w:sz="2"/>
        </w:tblBorders>
        <w:tblLayout w:type="fixed"/>
      </w:tblPr>
      <w:tblGrid>
        <w:gridCol w:w="1900"/>
        <w:gridCol w:w="2700"/>
        <w:gridCol w:w="1500"/>
        <w:gridCol w:w="3100"/>
      </w:tblGrid>
      <w:tr>
        <w:trPr>
          <w:cantSplit/>
          <w:tblHeader/>
        </w:trPr>
        <w:tc>
          <w:tcPr>
            <w:tcW w:type="dxa" w:w="1900"/>
            <w:shd w:fill="0A1628" w:val="clear"/>
            <w:tcMar>
              <w:top w:type="dxa" w:w="80"/>
              <w:left w:type="dxa" w:w="120"/>
              <w:bottom w:type="dxa" w:w="80"/>
              <w:right w:type="dxa" w:w="120"/>
            </w:tcMar>
            <w:vAlign w:val="center"/>
          </w:tcPr>
          <w:p>
            <w:r>
              <w:rPr>
                <w:rFonts w:ascii="Calibri" w:eastAsia="Microsoft YaHei"/>
                <w:b/>
                <w:bCs/>
                <w:color w:val="FFFFFF"/>
                <w:sz w:val="19"/>
                <w:szCs w:val="19"/>
              </w:rPr>
              <w:t xml:space="preserve">Layer</w:t>
            </w:r>
          </w:p>
        </w:tc>
        <w:tc>
          <w:tcPr>
            <w:tcW w:type="dxa" w:w="2700"/>
            <w:shd w:fill="0A1628" w:val="clear"/>
            <w:tcMar>
              <w:top w:type="dxa" w:w="80"/>
              <w:left w:type="dxa" w:w="120"/>
              <w:bottom w:type="dxa" w:w="80"/>
              <w:right w:type="dxa" w:w="120"/>
            </w:tcMar>
            <w:vAlign w:val="center"/>
          </w:tcPr>
          <w:p>
            <w:r>
              <w:rPr>
                <w:rFonts w:ascii="Calibri" w:eastAsia="Microsoft YaHei"/>
                <w:b/>
                <w:bCs/>
                <w:color w:val="FFFFFF"/>
                <w:sz w:val="19"/>
                <w:szCs w:val="19"/>
              </w:rPr>
              <w:t xml:space="preserve">Technology</w:t>
            </w:r>
          </w:p>
        </w:tc>
        <w:tc>
          <w:tcPr>
            <w:tcW w:type="dxa" w:w="1500"/>
            <w:shd w:fill="0A1628" w:val="clear"/>
            <w:tcMar>
              <w:top w:type="dxa" w:w="80"/>
              <w:left w:type="dxa" w:w="120"/>
              <w:bottom w:type="dxa" w:w="80"/>
              <w:right w:type="dxa" w:w="120"/>
            </w:tcMar>
            <w:vAlign w:val="center"/>
          </w:tcPr>
          <w:p>
            <w:r>
              <w:rPr>
                <w:rFonts w:ascii="Calibri" w:eastAsia="Microsoft YaHei"/>
                <w:b/>
                <w:bCs/>
                <w:color w:val="FFFFFF"/>
                <w:sz w:val="19"/>
                <w:szCs w:val="19"/>
              </w:rPr>
              <w:t xml:space="preserve">Version</w:t>
            </w:r>
          </w:p>
        </w:tc>
        <w:tc>
          <w:tcPr>
            <w:tcW w:type="dxa" w:w="3100"/>
            <w:shd w:fill="0A1628" w:val="clear"/>
            <w:tcMar>
              <w:top w:type="dxa" w:w="80"/>
              <w:left w:type="dxa" w:w="120"/>
              <w:bottom w:type="dxa" w:w="80"/>
              <w:right w:type="dxa" w:w="120"/>
            </w:tcMar>
            <w:vAlign w:val="center"/>
          </w:tcPr>
          <w:p>
            <w:r>
              <w:rPr>
                <w:rFonts w:ascii="Calibri" w:eastAsia="Microsoft YaHei"/>
                <w:b/>
                <w:bCs/>
                <w:color w:val="FFFFFF"/>
                <w:sz w:val="19"/>
                <w:szCs w:val="19"/>
              </w:rPr>
              <w:t xml:space="preserve">Notes</w:t>
            </w:r>
          </w:p>
        </w:tc>
      </w:tr>
      <w:tr>
        <w:trPr>
          <w:cantSplit/>
        </w:trPr>
        <w:tc>
          <w:tcPr>
            <w:tcW w:type="dxa" w:w="1900"/>
            <w:shd w:fill="FFFFFF" w:val="clear"/>
            <w:tcMar>
              <w:top w:type="dxa" w:w="60"/>
              <w:left w:type="dxa" w:w="120"/>
              <w:bottom w:type="dxa" w:w="60"/>
              <w:right w:type="dxa" w:w="120"/>
            </w:tcMar>
          </w:tcPr>
          <w:p>
            <w:r>
              <w:rPr>
                <w:rFonts w:ascii="Calibri" w:eastAsia="Microsoft YaHei"/>
                <w:color w:val="1A2B40"/>
                <w:sz w:val="19"/>
                <w:szCs w:val="19"/>
              </w:rPr>
              <w:t xml:space="preserve">Web framework</w:t>
            </w:r>
          </w:p>
        </w:tc>
        <w:tc>
          <w:tcPr>
            <w:tcW w:type="dxa" w:w="2700"/>
            <w:shd w:fill="FFFFFF" w:val="clear"/>
            <w:tcMar>
              <w:top w:type="dxa" w:w="60"/>
              <w:left w:type="dxa" w:w="120"/>
              <w:bottom w:type="dxa" w:w="60"/>
              <w:right w:type="dxa" w:w="120"/>
            </w:tcMar>
          </w:tcPr>
          <w:p>
            <w:r>
              <w:rPr>
                <w:rFonts w:ascii="Calibri" w:eastAsia="Microsoft YaHei"/>
                <w:color w:val="1A2B40"/>
                <w:sz w:val="19"/>
                <w:szCs w:val="19"/>
              </w:rPr>
              <w:t xml:space="preserve">Astro (static output)</w:t>
            </w:r>
          </w:p>
        </w:tc>
        <w:tc>
          <w:tcPr>
            <w:tcW w:type="dxa" w:w="1500"/>
            <w:shd w:fill="FFFFFF" w:val="clear"/>
            <w:tcMar>
              <w:top w:type="dxa" w:w="60"/>
              <w:left w:type="dxa" w:w="120"/>
              <w:bottom w:type="dxa" w:w="60"/>
              <w:right w:type="dxa" w:w="120"/>
            </w:tcMar>
          </w:tcPr>
          <w:p>
            <w:r>
              <w:rPr>
                <w:rFonts w:ascii="Calibri" w:eastAsia="Microsoft YaHei"/>
                <w:color w:val="1A2B40"/>
                <w:sz w:val="19"/>
                <w:szCs w:val="19"/>
              </w:rPr>
              <w:t xml:space="preserve">7.3.5</w:t>
            </w:r>
          </w:p>
        </w:tc>
        <w:tc>
          <w:tcPr>
            <w:tcW w:type="dxa" w:w="3100"/>
            <w:shd w:fill="FFFFFF" w:val="clear"/>
            <w:tcMar>
              <w:top w:type="dxa" w:w="60"/>
              <w:left w:type="dxa" w:w="120"/>
              <w:bottom w:type="dxa" w:w="60"/>
              <w:right w:type="dxa" w:w="120"/>
            </w:tcMar>
          </w:tcPr>
          <w:p>
            <w:r>
              <w:rPr>
                <w:rFonts w:ascii="Calibri" w:eastAsia="Microsoft YaHei"/>
                <w:color w:val="1A2B40"/>
                <w:sz w:val="19"/>
                <w:szCs w:val="19"/>
              </w:rPr>
              <w:t xml:space="preserve">MPA matching the audited prototype 1:1</w:t>
            </w:r>
          </w:p>
        </w:tc>
      </w:tr>
      <w:tr>
        <w:trPr>
          <w:cantSplit/>
        </w:trPr>
        <w:tc>
          <w:tcPr>
            <w:tcW w:type="dxa" w:w="1900"/>
            <w:shd w:fill="F4F8FC" w:val="clear"/>
            <w:tcMar>
              <w:top w:type="dxa" w:w="60"/>
              <w:left w:type="dxa" w:w="120"/>
              <w:bottom w:type="dxa" w:w="60"/>
              <w:right w:type="dxa" w:w="120"/>
            </w:tcMar>
          </w:tcPr>
          <w:p>
            <w:r>
              <w:rPr>
                <w:rFonts w:ascii="Calibri" w:eastAsia="Microsoft YaHei"/>
                <w:color w:val="1A2B40"/>
                <w:sz w:val="19"/>
                <w:szCs w:val="19"/>
              </w:rPr>
              <w:t xml:space="preserve">Admin framework</w:t>
            </w:r>
          </w:p>
        </w:tc>
        <w:tc>
          <w:tcPr>
            <w:tcW w:type="dxa" w:w="2700"/>
            <w:shd w:fill="F4F8FC" w:val="clear"/>
            <w:tcMar>
              <w:top w:type="dxa" w:w="60"/>
              <w:left w:type="dxa" w:w="120"/>
              <w:bottom w:type="dxa" w:w="60"/>
              <w:right w:type="dxa" w:w="120"/>
            </w:tcMar>
          </w:tcPr>
          <w:p>
            <w:r>
              <w:rPr>
                <w:rFonts w:ascii="Calibri" w:eastAsia="Microsoft YaHei"/>
                <w:color w:val="1A2B40"/>
                <w:sz w:val="19"/>
                <w:szCs w:val="19"/>
              </w:rPr>
              <w:t xml:space="preserve">React SPA (Vite + TanStack Query)</w:t>
            </w:r>
          </w:p>
        </w:tc>
        <w:tc>
          <w:tcPr>
            <w:tcW w:type="dxa" w:w="1500"/>
            <w:shd w:fill="F4F8FC" w:val="clear"/>
            <w:tcMar>
              <w:top w:type="dxa" w:w="60"/>
              <w:left w:type="dxa" w:w="120"/>
              <w:bottom w:type="dxa" w:w="60"/>
              <w:right w:type="dxa" w:w="120"/>
            </w:tcMar>
          </w:tcPr>
          <w:p>
            <w:r>
              <w:rPr>
                <w:rFonts w:ascii="Calibri" w:eastAsia="Microsoft YaHei"/>
                <w:color w:val="1A2B40"/>
                <w:sz w:val="19"/>
                <w:szCs w:val="19"/>
              </w:rPr>
              <w:t xml:space="preserve">React 19.3 / Vite 8.3</w:t>
            </w:r>
          </w:p>
        </w:tc>
        <w:tc>
          <w:tcPr>
            <w:tcW w:type="dxa" w:w="3100"/>
            <w:shd w:fill="F4F8FC" w:val="clear"/>
            <w:tcMar>
              <w:top w:type="dxa" w:w="60"/>
              <w:left w:type="dxa" w:w="120"/>
              <w:bottom w:type="dxa" w:w="60"/>
              <w:right w:type="dxa" w:w="120"/>
            </w:tcMar>
          </w:tcPr>
          <w:p>
            <w:r>
              <w:rPr>
                <w:rFonts w:ascii="Calibri" w:eastAsia="Microsoft YaHei"/>
                <w:color w:val="1A2B40"/>
                <w:sz w:val="19"/>
                <w:szCs w:val="19"/>
              </w:rPr>
              <w:t xml:space="preserve">Code-split per module; tabbed workspace shell</w:t>
            </w:r>
          </w:p>
        </w:tc>
      </w:tr>
      <w:tr>
        <w:trPr>
          <w:cantSplit/>
        </w:trPr>
        <w:tc>
          <w:tcPr>
            <w:tcW w:type="dxa" w:w="1900"/>
            <w:shd w:fill="FFFFFF" w:val="clear"/>
            <w:tcMar>
              <w:top w:type="dxa" w:w="60"/>
              <w:left w:type="dxa" w:w="120"/>
              <w:bottom w:type="dxa" w:w="60"/>
              <w:right w:type="dxa" w:w="120"/>
            </w:tcMar>
          </w:tcPr>
          <w:p>
            <w:r>
              <w:rPr>
                <w:rFonts w:ascii="Calibri" w:eastAsia="Microsoft YaHei"/>
                <w:color w:val="1A2B40"/>
                <w:sz w:val="19"/>
                <w:szCs w:val="19"/>
              </w:rPr>
              <w:t xml:space="preserve">API</w:t>
            </w:r>
          </w:p>
        </w:tc>
        <w:tc>
          <w:tcPr>
            <w:tcW w:type="dxa" w:w="2700"/>
            <w:shd w:fill="FFFFFF" w:val="clear"/>
            <w:tcMar>
              <w:top w:type="dxa" w:w="60"/>
              <w:left w:type="dxa" w:w="120"/>
              <w:bottom w:type="dxa" w:w="60"/>
              <w:right w:type="dxa" w:w="120"/>
            </w:tcMar>
          </w:tcPr>
          <w:p>
            <w:r>
              <w:rPr>
                <w:rFonts w:ascii="Calibri" w:eastAsia="Microsoft YaHei"/>
                <w:color w:val="1A2B40"/>
                <w:sz w:val="19"/>
                <w:szCs w:val="19"/>
              </w:rPr>
              <w:t xml:space="preserve">Hono on Node 24</w:t>
            </w:r>
          </w:p>
        </w:tc>
        <w:tc>
          <w:tcPr>
            <w:tcW w:type="dxa" w:w="1500"/>
            <w:shd w:fill="FFFFFF" w:val="clear"/>
            <w:tcMar>
              <w:top w:type="dxa" w:w="60"/>
              <w:left w:type="dxa" w:w="120"/>
              <w:bottom w:type="dxa" w:w="60"/>
              <w:right w:type="dxa" w:w="120"/>
            </w:tcMar>
          </w:tcPr>
          <w:p>
            <w:r>
              <w:rPr>
                <w:rFonts w:ascii="Calibri" w:eastAsia="Microsoft YaHei"/>
                <w:color w:val="1A2B40"/>
                <w:sz w:val="19"/>
                <w:szCs w:val="19"/>
              </w:rPr>
              <w:t xml:space="preserve">Hono 4.13</w:t>
            </w:r>
          </w:p>
        </w:tc>
        <w:tc>
          <w:tcPr>
            <w:tcW w:type="dxa" w:w="3100"/>
            <w:shd w:fill="FFFFFF" w:val="clear"/>
            <w:tcMar>
              <w:top w:type="dxa" w:w="60"/>
              <w:left w:type="dxa" w:w="120"/>
              <w:bottom w:type="dxa" w:w="60"/>
              <w:right w:type="dxa" w:w="120"/>
            </w:tcMar>
          </w:tcPr>
          <w:p>
            <w:r>
              <w:rPr>
                <w:rFonts w:ascii="Calibri" w:eastAsia="Microsoft YaHei"/>
                <w:color w:val="1A2B40"/>
                <w:sz w:val="19"/>
                <w:szCs w:val="19"/>
              </w:rPr>
              <w:t xml:space="preserve">TypeScript executed natively via --experimental-strip-types</w:t>
            </w:r>
          </w:p>
        </w:tc>
      </w:tr>
      <w:tr>
        <w:trPr>
          <w:cantSplit/>
        </w:trPr>
        <w:tc>
          <w:tcPr>
            <w:tcW w:type="dxa" w:w="1900"/>
            <w:shd w:fill="F4F8FC" w:val="clear"/>
            <w:tcMar>
              <w:top w:type="dxa" w:w="60"/>
              <w:left w:type="dxa" w:w="120"/>
              <w:bottom w:type="dxa" w:w="60"/>
              <w:right w:type="dxa" w:w="120"/>
            </w:tcMar>
          </w:tcPr>
          <w:p>
            <w:r>
              <w:rPr>
                <w:rFonts w:ascii="Calibri" w:eastAsia="Microsoft YaHei"/>
                <w:color w:val="1A2B40"/>
                <w:sz w:val="19"/>
                <w:szCs w:val="19"/>
              </w:rPr>
              <w:t xml:space="preserve">ORM / DB access</w:t>
            </w:r>
          </w:p>
        </w:tc>
        <w:tc>
          <w:tcPr>
            <w:tcW w:type="dxa" w:w="2700"/>
            <w:shd w:fill="F4F8FC" w:val="clear"/>
            <w:tcMar>
              <w:top w:type="dxa" w:w="60"/>
              <w:left w:type="dxa" w:w="120"/>
              <w:bottom w:type="dxa" w:w="60"/>
              <w:right w:type="dxa" w:w="120"/>
            </w:tcMar>
          </w:tcPr>
          <w:p>
            <w:r>
              <w:rPr>
                <w:rFonts w:ascii="Calibri" w:eastAsia="Microsoft YaHei"/>
                <w:color w:val="1A2B40"/>
                <w:sz w:val="19"/>
                <w:szCs w:val="19"/>
              </w:rPr>
              <w:t xml:space="preserve">Drizzle ORM</w:t>
            </w:r>
          </w:p>
        </w:tc>
        <w:tc>
          <w:tcPr>
            <w:tcW w:type="dxa" w:w="1500"/>
            <w:shd w:fill="F4F8FC" w:val="clear"/>
            <w:tcMar>
              <w:top w:type="dxa" w:w="60"/>
              <w:left w:type="dxa" w:w="120"/>
              <w:bottom w:type="dxa" w:w="60"/>
              <w:right w:type="dxa" w:w="120"/>
            </w:tcMar>
          </w:tcPr>
          <w:p>
            <w:r>
              <w:rPr>
                <w:rFonts w:ascii="Calibri" w:eastAsia="Microsoft YaHei"/>
                <w:color w:val="1A2B40"/>
                <w:sz w:val="19"/>
                <w:szCs w:val="19"/>
              </w:rPr>
              <w:t xml:space="preserve">0.45.3</w:t>
            </w:r>
          </w:p>
        </w:tc>
        <w:tc>
          <w:tcPr>
            <w:tcW w:type="dxa" w:w="3100"/>
            <w:shd w:fill="F4F8FC" w:val="clear"/>
            <w:tcMar>
              <w:top w:type="dxa" w:w="60"/>
              <w:left w:type="dxa" w:w="120"/>
              <w:bottom w:type="dxa" w:w="60"/>
              <w:right w:type="dxa" w:w="120"/>
            </w:tcMar>
          </w:tcPr>
          <w:p>
            <w:r>
              <w:rPr>
                <w:rFonts w:ascii="Calibri" w:eastAsia="Microsoft YaHei"/>
                <w:color w:val="1A2B40"/>
                <w:sz w:val="19"/>
                <w:szCs w:val="19"/>
              </w:rPr>
              <w:t xml:space="preserve">Parameter-bound query builders only; SQL via tagged templates</w:t>
            </w:r>
          </w:p>
        </w:tc>
      </w:tr>
      <w:tr>
        <w:trPr>
          <w:cantSplit/>
        </w:trPr>
        <w:tc>
          <w:tcPr>
            <w:tcW w:type="dxa" w:w="1900"/>
            <w:shd w:fill="FFFFFF" w:val="clear"/>
            <w:tcMar>
              <w:top w:type="dxa" w:w="60"/>
              <w:left w:type="dxa" w:w="120"/>
              <w:bottom w:type="dxa" w:w="60"/>
              <w:right w:type="dxa" w:w="120"/>
            </w:tcMar>
          </w:tcPr>
          <w:p>
            <w:r>
              <w:rPr>
                <w:rFonts w:ascii="Calibri" w:eastAsia="Microsoft YaHei"/>
                <w:color w:val="1A2B40"/>
                <w:sz w:val="19"/>
                <w:szCs w:val="19"/>
              </w:rPr>
              <w:t xml:space="preserve">Dev database</w:t>
            </w:r>
          </w:p>
        </w:tc>
        <w:tc>
          <w:tcPr>
            <w:tcW w:type="dxa" w:w="2700"/>
            <w:shd w:fill="FFFFFF" w:val="clear"/>
            <w:tcMar>
              <w:top w:type="dxa" w:w="60"/>
              <w:left w:type="dxa" w:w="120"/>
              <w:bottom w:type="dxa" w:w="60"/>
              <w:right w:type="dxa" w:w="120"/>
            </w:tcMar>
          </w:tcPr>
          <w:p>
            <w:r>
              <w:rPr>
                <w:rFonts w:ascii="Calibri" w:eastAsia="Microsoft YaHei"/>
                <w:color w:val="1A2B40"/>
                <w:sz w:val="19"/>
                <w:szCs w:val="19"/>
              </w:rPr>
              <w:t xml:space="preserve">PGlite (embedded Postgres)</w:t>
            </w:r>
          </w:p>
        </w:tc>
        <w:tc>
          <w:tcPr>
            <w:tcW w:type="dxa" w:w="1500"/>
            <w:shd w:fill="FFFFFF" w:val="clear"/>
            <w:tcMar>
              <w:top w:type="dxa" w:w="60"/>
              <w:left w:type="dxa" w:w="120"/>
              <w:bottom w:type="dxa" w:w="60"/>
              <w:right w:type="dxa" w:w="120"/>
            </w:tcMar>
          </w:tcPr>
          <w:p>
            <w:r>
              <w:rPr>
                <w:rFonts w:ascii="Calibri" w:eastAsia="Microsoft YaHei"/>
                <w:color w:val="1A2B40"/>
                <w:sz w:val="19"/>
                <w:szCs w:val="19"/>
              </w:rPr>
              <w:t xml:space="preserve">0.5.8</w:t>
            </w:r>
          </w:p>
        </w:tc>
        <w:tc>
          <w:tcPr>
            <w:tcW w:type="dxa" w:w="3100"/>
            <w:shd w:fill="FFFFFF" w:val="clear"/>
            <w:tcMar>
              <w:top w:type="dxa" w:w="60"/>
              <w:left w:type="dxa" w:w="120"/>
              <w:bottom w:type="dxa" w:w="60"/>
              <w:right w:type="dxa" w:w="120"/>
            </w:tcMar>
          </w:tcPr>
          <w:p>
            <w:r>
              <w:rPr>
                <w:rFonts w:ascii="Calibri" w:eastAsia="Microsoft YaHei"/>
                <w:color w:val="1A2B40"/>
                <w:sz w:val="19"/>
                <w:szCs w:val="19"/>
              </w:rPr>
              <w:t xml:space="preserve">Dev/test only — the API refuses it under NODE_ENV=production</w:t>
            </w:r>
          </w:p>
        </w:tc>
      </w:tr>
      <w:tr>
        <w:trPr>
          <w:cantSplit/>
        </w:trPr>
        <w:tc>
          <w:tcPr>
            <w:tcW w:type="dxa" w:w="1900"/>
            <w:shd w:fill="F4F8FC" w:val="clear"/>
            <w:tcMar>
              <w:top w:type="dxa" w:w="60"/>
              <w:left w:type="dxa" w:w="120"/>
              <w:bottom w:type="dxa" w:w="60"/>
              <w:right w:type="dxa" w:w="120"/>
            </w:tcMar>
          </w:tcPr>
          <w:p>
            <w:r>
              <w:rPr>
                <w:rFonts w:ascii="Calibri" w:eastAsia="Microsoft YaHei"/>
                <w:color w:val="1A2B40"/>
                <w:sz w:val="19"/>
                <w:szCs w:val="19"/>
              </w:rPr>
              <w:t xml:space="preserve">Production DB</w:t>
            </w:r>
          </w:p>
        </w:tc>
        <w:tc>
          <w:tcPr>
            <w:tcW w:type="dxa" w:w="2700"/>
            <w:shd w:fill="F4F8FC" w:val="clear"/>
            <w:tcMar>
              <w:top w:type="dxa" w:w="60"/>
              <w:left w:type="dxa" w:w="120"/>
              <w:bottom w:type="dxa" w:w="60"/>
              <w:right w:type="dxa" w:w="120"/>
            </w:tcMar>
          </w:tcPr>
          <w:p>
            <w:r>
              <w:rPr>
                <w:rFonts w:ascii="Calibri" w:eastAsia="Microsoft YaHei"/>
                <w:color w:val="1A2B40"/>
                <w:sz w:val="19"/>
                <w:szCs w:val="19"/>
              </w:rPr>
              <w:t xml:space="preserve">PostgreSQL 16</w:t>
            </w:r>
          </w:p>
        </w:tc>
        <w:tc>
          <w:tcPr>
            <w:tcW w:type="dxa" w:w="1500"/>
            <w:shd w:fill="F4F8FC" w:val="clear"/>
            <w:tcMar>
              <w:top w:type="dxa" w:w="60"/>
              <w:left w:type="dxa" w:w="120"/>
              <w:bottom w:type="dxa" w:w="60"/>
              <w:right w:type="dxa" w:w="120"/>
            </w:tcMar>
          </w:tcPr>
          <w:p>
            <w:r>
              <w:rPr>
                <w:rFonts w:ascii="Calibri" w:eastAsia="Microsoft YaHei"/>
                <w:color w:val="1A2B40"/>
                <w:sz w:val="19"/>
                <w:szCs w:val="19"/>
              </w:rPr>
              <w:t xml:space="preserve">—</w:t>
            </w:r>
          </w:p>
        </w:tc>
        <w:tc>
          <w:tcPr>
            <w:tcW w:type="dxa" w:w="3100"/>
            <w:shd w:fill="F4F8FC" w:val="clear"/>
            <w:tcMar>
              <w:top w:type="dxa" w:w="60"/>
              <w:left w:type="dxa" w:w="120"/>
              <w:bottom w:type="dxa" w:w="60"/>
              <w:right w:type="dxa" w:w="120"/>
            </w:tcMar>
          </w:tcPr>
          <w:p>
            <w:r>
              <w:rPr>
                <w:rFonts w:ascii="Calibri" w:eastAsia="Microsoft YaHei"/>
                <w:color w:val="1A2B40"/>
                <w:sz w:val="19"/>
                <w:szCs w:val="19"/>
              </w:rPr>
              <w:t xml:space="preserve">Same schema, zero rewrite</w:t>
            </w:r>
          </w:p>
        </w:tc>
      </w:tr>
      <w:tr>
        <w:trPr>
          <w:cantSplit/>
        </w:trPr>
        <w:tc>
          <w:tcPr>
            <w:tcW w:type="dxa" w:w="1900"/>
            <w:shd w:fill="FFFFFF" w:val="clear"/>
            <w:tcMar>
              <w:top w:type="dxa" w:w="60"/>
              <w:left w:type="dxa" w:w="120"/>
              <w:bottom w:type="dxa" w:w="60"/>
              <w:right w:type="dxa" w:w="120"/>
            </w:tcMar>
          </w:tcPr>
          <w:p>
            <w:r>
              <w:rPr>
                <w:rFonts w:ascii="Calibri" w:eastAsia="Microsoft YaHei"/>
                <w:color w:val="1A2B40"/>
                <w:sz w:val="19"/>
                <w:szCs w:val="19"/>
              </w:rPr>
              <w:t xml:space="preserve">Authentication</w:t>
            </w:r>
          </w:p>
        </w:tc>
        <w:tc>
          <w:tcPr>
            <w:tcW w:type="dxa" w:w="2700"/>
            <w:shd w:fill="FFFFFF" w:val="clear"/>
            <w:tcMar>
              <w:top w:type="dxa" w:w="60"/>
              <w:left w:type="dxa" w:w="120"/>
              <w:bottom w:type="dxa" w:w="60"/>
              <w:right w:type="dxa" w:w="120"/>
            </w:tcMar>
          </w:tcPr>
          <w:p>
            <w:r>
              <w:rPr>
                <w:rFonts w:ascii="Calibri" w:eastAsia="Microsoft YaHei"/>
                <w:color w:val="1A2B40"/>
                <w:sz w:val="19"/>
                <w:szCs w:val="19"/>
              </w:rPr>
              <w:t xml:space="preserve">Better Auth</w:t>
            </w:r>
          </w:p>
        </w:tc>
        <w:tc>
          <w:tcPr>
            <w:tcW w:type="dxa" w:w="1500"/>
            <w:shd w:fill="FFFFFF" w:val="clear"/>
            <w:tcMar>
              <w:top w:type="dxa" w:w="60"/>
              <w:left w:type="dxa" w:w="120"/>
              <w:bottom w:type="dxa" w:w="60"/>
              <w:right w:type="dxa" w:w="120"/>
            </w:tcMar>
          </w:tcPr>
          <w:p>
            <w:r>
              <w:rPr>
                <w:rFonts w:ascii="Calibri" w:eastAsia="Microsoft YaHei"/>
                <w:color w:val="1A2B40"/>
                <w:sz w:val="19"/>
                <w:szCs w:val="19"/>
              </w:rPr>
              <w:t xml:space="preserve">1.7.6</w:t>
            </w:r>
          </w:p>
        </w:tc>
        <w:tc>
          <w:tcPr>
            <w:tcW w:type="dxa" w:w="3100"/>
            <w:shd w:fill="FFFFFF" w:val="clear"/>
            <w:tcMar>
              <w:top w:type="dxa" w:w="60"/>
              <w:left w:type="dxa" w:w="120"/>
              <w:bottom w:type="dxa" w:w="60"/>
              <w:right w:type="dxa" w:w="120"/>
            </w:tcMar>
          </w:tcPr>
          <w:p>
            <w:r>
              <w:rPr>
                <w:rFonts w:ascii="Calibri" w:eastAsia="Microsoft YaHei"/>
                <w:color w:val="1A2B40"/>
                <w:sz w:val="19"/>
                <w:szCs w:val="19"/>
              </w:rPr>
              <w:t xml:space="preserve">Sessions, TOTP MFA, roles, admin plugin</w:t>
            </w:r>
          </w:p>
        </w:tc>
      </w:tr>
      <w:tr>
        <w:trPr>
          <w:cantSplit/>
        </w:trPr>
        <w:tc>
          <w:tcPr>
            <w:tcW w:type="dxa" w:w="1900"/>
            <w:shd w:fill="F4F8FC" w:val="clear"/>
            <w:tcMar>
              <w:top w:type="dxa" w:w="60"/>
              <w:left w:type="dxa" w:w="120"/>
              <w:bottom w:type="dxa" w:w="60"/>
              <w:right w:type="dxa" w:w="120"/>
            </w:tcMar>
          </w:tcPr>
          <w:p>
            <w:r>
              <w:rPr>
                <w:rFonts w:ascii="Calibri" w:eastAsia="Microsoft YaHei"/>
                <w:color w:val="1A2B40"/>
                <w:sz w:val="19"/>
                <w:szCs w:val="19"/>
              </w:rPr>
              <w:t xml:space="preserve">Validation</w:t>
            </w:r>
          </w:p>
        </w:tc>
        <w:tc>
          <w:tcPr>
            <w:tcW w:type="dxa" w:w="2700"/>
            <w:shd w:fill="F4F8FC" w:val="clear"/>
            <w:tcMar>
              <w:top w:type="dxa" w:w="60"/>
              <w:left w:type="dxa" w:w="120"/>
              <w:bottom w:type="dxa" w:w="60"/>
              <w:right w:type="dxa" w:w="120"/>
            </w:tcMar>
          </w:tcPr>
          <w:p>
            <w:r>
              <w:rPr>
                <w:rFonts w:ascii="Calibri" w:eastAsia="Microsoft YaHei"/>
                <w:color w:val="1A2B40"/>
                <w:sz w:val="19"/>
                <w:szCs w:val="19"/>
              </w:rPr>
              <w:t xml:space="preserve">Zod shared contracts</w:t>
            </w:r>
          </w:p>
        </w:tc>
        <w:tc>
          <w:tcPr>
            <w:tcW w:type="dxa" w:w="1500"/>
            <w:shd w:fill="F4F8FC" w:val="clear"/>
            <w:tcMar>
              <w:top w:type="dxa" w:w="60"/>
              <w:left w:type="dxa" w:w="120"/>
              <w:bottom w:type="dxa" w:w="60"/>
              <w:right w:type="dxa" w:w="120"/>
            </w:tcMar>
          </w:tcPr>
          <w:p>
            <w:r>
              <w:rPr>
                <w:rFonts w:ascii="Calibri" w:eastAsia="Microsoft YaHei"/>
                <w:color w:val="1A2B40"/>
                <w:sz w:val="19"/>
                <w:szCs w:val="19"/>
              </w:rPr>
              <w:t xml:space="preserve">4.6.5</w:t>
            </w:r>
          </w:p>
        </w:tc>
        <w:tc>
          <w:tcPr>
            <w:tcW w:type="dxa" w:w="3100"/>
            <w:shd w:fill="F4F8FC" w:val="clear"/>
            <w:tcMar>
              <w:top w:type="dxa" w:w="60"/>
              <w:left w:type="dxa" w:w="120"/>
              <w:bottom w:type="dxa" w:w="60"/>
              <w:right w:type="dxa" w:w="120"/>
            </w:tcMar>
          </w:tcPr>
          <w:p>
            <w:r>
              <w:rPr>
                <w:rFonts w:ascii="Calibri" w:eastAsia="Microsoft YaHei"/>
                <w:color w:val="1A2B40"/>
                <w:sz w:val="19"/>
                <w:szCs w:val="19"/>
              </w:rPr>
              <w:t xml:space="preserve">One schema validates API input and admin forms</w:t>
            </w:r>
          </w:p>
        </w:tc>
      </w:tr>
      <w:tr>
        <w:trPr>
          <w:cantSplit/>
        </w:trPr>
        <w:tc>
          <w:tcPr>
            <w:tcW w:type="dxa" w:w="1900"/>
            <w:shd w:fill="FFFFFF" w:val="clear"/>
            <w:tcMar>
              <w:top w:type="dxa" w:w="60"/>
              <w:left w:type="dxa" w:w="120"/>
              <w:bottom w:type="dxa" w:w="60"/>
              <w:right w:type="dxa" w:w="120"/>
            </w:tcMar>
          </w:tcPr>
          <w:p>
            <w:r>
              <w:rPr>
                <w:rFonts w:ascii="Calibri" w:eastAsia="Microsoft YaHei"/>
                <w:color w:val="1A2B40"/>
                <w:sz w:val="19"/>
                <w:szCs w:val="19"/>
              </w:rPr>
              <w:t xml:space="preserve">Site search</w:t>
            </w:r>
          </w:p>
        </w:tc>
        <w:tc>
          <w:tcPr>
            <w:tcW w:type="dxa" w:w="2700"/>
            <w:shd w:fill="FFFFFF" w:val="clear"/>
            <w:tcMar>
              <w:top w:type="dxa" w:w="60"/>
              <w:left w:type="dxa" w:w="120"/>
              <w:bottom w:type="dxa" w:w="60"/>
              <w:right w:type="dxa" w:w="120"/>
            </w:tcMar>
          </w:tcPr>
          <w:p>
            <w:r>
              <w:rPr>
                <w:rFonts w:ascii="Calibri" w:eastAsia="Microsoft YaHei"/>
                <w:color w:val="1A2B40"/>
                <w:sz w:val="19"/>
                <w:szCs w:val="19"/>
              </w:rPr>
              <w:t xml:space="preserve">Pagefind</w:t>
            </w:r>
          </w:p>
        </w:tc>
        <w:tc>
          <w:tcPr>
            <w:tcW w:type="dxa" w:w="1500"/>
            <w:shd w:fill="FFFFFF" w:val="clear"/>
            <w:tcMar>
              <w:top w:type="dxa" w:w="60"/>
              <w:left w:type="dxa" w:w="120"/>
              <w:bottom w:type="dxa" w:w="60"/>
              <w:right w:type="dxa" w:w="120"/>
            </w:tcMar>
          </w:tcPr>
          <w:p>
            <w:r>
              <w:rPr>
                <w:rFonts w:ascii="Calibri" w:eastAsia="Microsoft YaHei"/>
                <w:color w:val="1A2B40"/>
                <w:sz w:val="19"/>
                <w:szCs w:val="19"/>
              </w:rPr>
              <w:t xml:space="preserve">1.5.2</w:t>
            </w:r>
          </w:p>
        </w:tc>
        <w:tc>
          <w:tcPr>
            <w:tcW w:type="dxa" w:w="3100"/>
            <w:shd w:fill="FFFFFF" w:val="clear"/>
            <w:tcMar>
              <w:top w:type="dxa" w:w="60"/>
              <w:left w:type="dxa" w:w="120"/>
              <w:bottom w:type="dxa" w:w="60"/>
              <w:right w:type="dxa" w:w="120"/>
            </w:tcMar>
          </w:tcPr>
          <w:p>
            <w:r>
              <w:rPr>
                <w:rFonts w:ascii="Calibri" w:eastAsia="Microsoft YaHei"/>
                <w:color w:val="1A2B40"/>
                <w:sz w:val="19"/>
                <w:szCs w:val="19"/>
              </w:rPr>
              <w:t xml:space="preserve">Build-time fuzzy index in the static bundle</w:t>
            </w:r>
          </w:p>
        </w:tc>
      </w:tr>
      <w:tr>
        <w:trPr>
          <w:cantSplit/>
        </w:trPr>
        <w:tc>
          <w:tcPr>
            <w:tcW w:type="dxa" w:w="1900"/>
            <w:shd w:fill="F4F8FC" w:val="clear"/>
            <w:tcMar>
              <w:top w:type="dxa" w:w="60"/>
              <w:left w:type="dxa" w:w="120"/>
              <w:bottom w:type="dxa" w:w="60"/>
              <w:right w:type="dxa" w:w="120"/>
            </w:tcMar>
          </w:tcPr>
          <w:p>
            <w:r>
              <w:rPr>
                <w:rFonts w:ascii="Calibri" w:eastAsia="Microsoft YaHei"/>
                <w:color w:val="1A2B40"/>
                <w:sz w:val="19"/>
                <w:szCs w:val="19"/>
              </w:rPr>
              <w:t xml:space="preserve">Email</w:t>
            </w:r>
          </w:p>
        </w:tc>
        <w:tc>
          <w:tcPr>
            <w:tcW w:type="dxa" w:w="2700"/>
            <w:shd w:fill="F4F8FC" w:val="clear"/>
            <w:tcMar>
              <w:top w:type="dxa" w:w="60"/>
              <w:left w:type="dxa" w:w="120"/>
              <w:bottom w:type="dxa" w:w="60"/>
              <w:right w:type="dxa" w:w="120"/>
            </w:tcMar>
          </w:tcPr>
          <w:p>
            <w:r>
              <w:rPr>
                <w:rFonts w:ascii="Calibri" w:eastAsia="Microsoft YaHei"/>
                <w:color w:val="1A2B40"/>
                <w:sz w:val="19"/>
                <w:szCs w:val="19"/>
              </w:rPr>
              <w:t xml:space="preserve">Resend</w:t>
            </w:r>
          </w:p>
        </w:tc>
        <w:tc>
          <w:tcPr>
            <w:tcW w:type="dxa" w:w="1500"/>
            <w:shd w:fill="F4F8FC" w:val="clear"/>
            <w:tcMar>
              <w:top w:type="dxa" w:w="60"/>
              <w:left w:type="dxa" w:w="120"/>
              <w:bottom w:type="dxa" w:w="60"/>
              <w:right w:type="dxa" w:w="120"/>
            </w:tcMar>
          </w:tcPr>
          <w:p>
            <w:r>
              <w:rPr>
                <w:rFonts w:ascii="Calibri" w:eastAsia="Microsoft YaHei"/>
                <w:color w:val="1A2B40"/>
                <w:sz w:val="19"/>
                <w:szCs w:val="19"/>
              </w:rPr>
              <w:t xml:space="preserve">6.30.0</w:t>
            </w:r>
          </w:p>
        </w:tc>
        <w:tc>
          <w:tcPr>
            <w:tcW w:type="dxa" w:w="3100"/>
            <w:shd w:fill="F4F8FC" w:val="clear"/>
            <w:tcMar>
              <w:top w:type="dxa" w:w="60"/>
              <w:left w:type="dxa" w:w="120"/>
              <w:bottom w:type="dxa" w:w="60"/>
              <w:right w:type="dxa" w:w="120"/>
            </w:tcMar>
          </w:tcPr>
          <w:p>
            <w:r>
              <w:rPr>
                <w:rFonts w:ascii="Calibri" w:eastAsia="Microsoft YaHei"/>
                <w:color w:val="1A2B40"/>
                <w:sz w:val="19"/>
                <w:szCs w:val="19"/>
              </w:rPr>
              <w:t xml:space="preserve">Transactional; dev driver writes JSON to an outbox</w:t>
            </w:r>
          </w:p>
        </w:tc>
      </w:tr>
      <w:tr>
        <w:trPr>
          <w:cantSplit/>
        </w:trPr>
        <w:tc>
          <w:tcPr>
            <w:tcW w:type="dxa" w:w="1900"/>
            <w:shd w:fill="FFFFFF" w:val="clear"/>
            <w:tcMar>
              <w:top w:type="dxa" w:w="60"/>
              <w:left w:type="dxa" w:w="120"/>
              <w:bottom w:type="dxa" w:w="60"/>
              <w:right w:type="dxa" w:w="120"/>
            </w:tcMar>
          </w:tcPr>
          <w:p>
            <w:r>
              <w:rPr>
                <w:rFonts w:ascii="Calibri" w:eastAsia="Microsoft YaHei"/>
                <w:color w:val="1A2B40"/>
                <w:sz w:val="19"/>
                <w:szCs w:val="19"/>
              </w:rPr>
              <w:t xml:space="preserve">Image processing</w:t>
            </w:r>
          </w:p>
        </w:tc>
        <w:tc>
          <w:tcPr>
            <w:tcW w:type="dxa" w:w="2700"/>
            <w:shd w:fill="FFFFFF" w:val="clear"/>
            <w:tcMar>
              <w:top w:type="dxa" w:w="60"/>
              <w:left w:type="dxa" w:w="120"/>
              <w:bottom w:type="dxa" w:w="60"/>
              <w:right w:type="dxa" w:w="120"/>
            </w:tcMar>
          </w:tcPr>
          <w:p>
            <w:r>
              <w:rPr>
                <w:rFonts w:ascii="Calibri" w:eastAsia="Microsoft YaHei"/>
                <w:color w:val="1A2B40"/>
                <w:sz w:val="19"/>
                <w:szCs w:val="19"/>
              </w:rPr>
              <w:t xml:space="preserve">Sharp</w:t>
            </w:r>
          </w:p>
        </w:tc>
        <w:tc>
          <w:tcPr>
            <w:tcW w:type="dxa" w:w="1500"/>
            <w:shd w:fill="FFFFFF" w:val="clear"/>
            <w:tcMar>
              <w:top w:type="dxa" w:w="60"/>
              <w:left w:type="dxa" w:w="120"/>
              <w:bottom w:type="dxa" w:w="60"/>
              <w:right w:type="dxa" w:w="120"/>
            </w:tcMar>
          </w:tcPr>
          <w:p>
            <w:r>
              <w:rPr>
                <w:rFonts w:ascii="Calibri" w:eastAsia="Microsoft YaHei"/>
                <w:color w:val="1A2B40"/>
                <w:sz w:val="19"/>
                <w:szCs w:val="19"/>
              </w:rPr>
              <w:t xml:space="preserve">0.35.5</w:t>
            </w:r>
          </w:p>
        </w:tc>
        <w:tc>
          <w:tcPr>
            <w:tcW w:type="dxa" w:w="3100"/>
            <w:shd w:fill="FFFFFF" w:val="clear"/>
            <w:tcMar>
              <w:top w:type="dxa" w:w="60"/>
              <w:left w:type="dxa" w:w="120"/>
              <w:bottom w:type="dxa" w:w="60"/>
              <w:right w:type="dxa" w:w="120"/>
            </w:tcMar>
          </w:tcPr>
          <w:p>
            <w:r>
              <w:rPr>
                <w:rFonts w:ascii="Calibri" w:eastAsia="Microsoft YaHei"/>
                <w:color w:val="1A2B40"/>
                <w:sz w:val="19"/>
                <w:szCs w:val="19"/>
              </w:rPr>
              <w:t xml:space="preserve">Responsive WebP/AVIF derivatives per upload</w:t>
            </w:r>
          </w:p>
        </w:tc>
      </w:tr>
      <w:tr>
        <w:trPr>
          <w:cantSplit/>
        </w:trPr>
        <w:tc>
          <w:tcPr>
            <w:tcW w:type="dxa" w:w="1900"/>
            <w:shd w:fill="F4F8FC" w:val="clear"/>
            <w:tcMar>
              <w:top w:type="dxa" w:w="60"/>
              <w:left w:type="dxa" w:w="120"/>
              <w:bottom w:type="dxa" w:w="60"/>
              <w:right w:type="dxa" w:w="120"/>
            </w:tcMar>
          </w:tcPr>
          <w:p>
            <w:r>
              <w:rPr>
                <w:rFonts w:ascii="Calibri" w:eastAsia="Microsoft YaHei"/>
                <w:color w:val="1A2B40"/>
                <w:sz w:val="19"/>
                <w:szCs w:val="19"/>
              </w:rPr>
              <w:t xml:space="preserve">Web styling</w:t>
            </w:r>
          </w:p>
        </w:tc>
        <w:tc>
          <w:tcPr>
            <w:tcW w:type="dxa" w:w="2700"/>
            <w:shd w:fill="F4F8FC" w:val="clear"/>
            <w:tcMar>
              <w:top w:type="dxa" w:w="60"/>
              <w:left w:type="dxa" w:w="120"/>
              <w:bottom w:type="dxa" w:w="60"/>
              <w:right w:type="dxa" w:w="120"/>
            </w:tcMar>
          </w:tcPr>
          <w:p>
            <w:r>
              <w:rPr>
                <w:rFonts w:ascii="Calibri" w:eastAsia="Microsoft YaHei"/>
                <w:color w:val="1A2B40"/>
                <w:sz w:val="19"/>
                <w:szCs w:val="19"/>
              </w:rPr>
              <w:t xml:space="preserve">Prototype main.css design tokens</w:t>
            </w:r>
          </w:p>
        </w:tc>
        <w:tc>
          <w:tcPr>
            <w:tcW w:type="dxa" w:w="1500"/>
            <w:shd w:fill="F4F8FC" w:val="clear"/>
            <w:tcMar>
              <w:top w:type="dxa" w:w="60"/>
              <w:left w:type="dxa" w:w="120"/>
              <w:bottom w:type="dxa" w:w="60"/>
              <w:right w:type="dxa" w:w="120"/>
            </w:tcMar>
          </w:tcPr>
          <w:p>
            <w:r>
              <w:rPr>
                <w:rFonts w:ascii="Calibri" w:eastAsia="Microsoft YaHei"/>
                <w:color w:val="1A2B40"/>
                <w:sz w:val="19"/>
                <w:szCs w:val="19"/>
              </w:rPr>
              <w:t xml:space="preserve">—</w:t>
            </w:r>
          </w:p>
        </w:tc>
        <w:tc>
          <w:tcPr>
            <w:tcW w:type="dxa" w:w="3100"/>
            <w:shd w:fill="F4F8FC" w:val="clear"/>
            <w:tcMar>
              <w:top w:type="dxa" w:w="60"/>
              <w:left w:type="dxa" w:w="120"/>
              <w:bottom w:type="dxa" w:w="60"/>
              <w:right w:type="dxa" w:w="120"/>
            </w:tcMar>
          </w:tcPr>
          <w:p>
            <w:r>
              <w:rPr>
                <w:rFonts w:ascii="Calibri" w:eastAsia="Microsoft YaHei"/>
                <w:color w:val="1A2B40"/>
                <w:sz w:val="19"/>
                <w:szCs w:val="19"/>
              </w:rPr>
              <w:t xml:space="preserve">No CSS framework on the public site — the audited CSS is the contract</w:t>
            </w:r>
          </w:p>
        </w:tc>
      </w:tr>
      <w:tr>
        <w:trPr>
          <w:cantSplit/>
        </w:trPr>
        <w:tc>
          <w:tcPr>
            <w:tcW w:type="dxa" w:w="1900"/>
            <w:shd w:fill="FFFFFF" w:val="clear"/>
            <w:tcMar>
              <w:top w:type="dxa" w:w="60"/>
              <w:left w:type="dxa" w:w="120"/>
              <w:bottom w:type="dxa" w:w="60"/>
              <w:right w:type="dxa" w:w="120"/>
            </w:tcMar>
          </w:tcPr>
          <w:p>
            <w:r>
              <w:rPr>
                <w:rFonts w:ascii="Calibri" w:eastAsia="Microsoft YaHei"/>
                <w:color w:val="1A2B40"/>
                <w:sz w:val="19"/>
                <w:szCs w:val="19"/>
              </w:rPr>
              <w:t xml:space="preserve">Testing</w:t>
            </w:r>
          </w:p>
        </w:tc>
        <w:tc>
          <w:tcPr>
            <w:tcW w:type="dxa" w:w="2700"/>
            <w:shd w:fill="FFFFFF" w:val="clear"/>
            <w:tcMar>
              <w:top w:type="dxa" w:w="60"/>
              <w:left w:type="dxa" w:w="120"/>
              <w:bottom w:type="dxa" w:w="60"/>
              <w:right w:type="dxa" w:w="120"/>
            </w:tcMar>
          </w:tcPr>
          <w:p>
            <w:r>
              <w:rPr>
                <w:rFonts w:ascii="Calibri" w:eastAsia="Microsoft YaHei"/>
                <w:color w:val="1A2B40"/>
                <w:sz w:val="19"/>
                <w:szCs w:val="19"/>
              </w:rPr>
              <w:t xml:space="preserve">Vitest + Playwright + axe-core + Lighthouse CI</w:t>
            </w:r>
          </w:p>
        </w:tc>
        <w:tc>
          <w:tcPr>
            <w:tcW w:type="dxa" w:w="1500"/>
            <w:shd w:fill="FFFFFF" w:val="clear"/>
            <w:tcMar>
              <w:top w:type="dxa" w:w="60"/>
              <w:left w:type="dxa" w:w="120"/>
              <w:bottom w:type="dxa" w:w="60"/>
              <w:right w:type="dxa" w:w="120"/>
            </w:tcMar>
          </w:tcPr>
          <w:p>
            <w:r>
              <w:rPr>
                <w:rFonts w:ascii="Calibri" w:eastAsia="Microsoft YaHei"/>
                <w:color w:val="1A2B40"/>
                <w:sz w:val="19"/>
                <w:szCs w:val="19"/>
              </w:rPr>
              <w:t xml:space="preserve">—</w:t>
            </w:r>
          </w:p>
        </w:tc>
        <w:tc>
          <w:tcPr>
            <w:tcW w:type="dxa" w:w="3100"/>
            <w:shd w:fill="FFFFFF" w:val="clear"/>
            <w:tcMar>
              <w:top w:type="dxa" w:w="60"/>
              <w:left w:type="dxa" w:w="120"/>
              <w:bottom w:type="dxa" w:w="60"/>
              <w:right w:type="dxa" w:w="120"/>
            </w:tcMar>
          </w:tcPr>
          <w:p>
            <w:r>
              <w:rPr>
                <w:rFonts w:ascii="Calibri" w:eastAsia="Microsoft YaHei"/>
                <w:color w:val="1A2B40"/>
                <w:sz w:val="19"/>
                <w:szCs w:val="19"/>
              </w:rPr>
              <w:t xml:space="preserve">253 automated tests; parity and accessibility gates</w:t>
            </w:r>
          </w:p>
        </w:tc>
      </w:tr>
    </w:tbl>
    <w:p>
      <w:pPr>
        <w:spacing w:after="120"/>
      </w:pPr>
    </w:p>
    <w:p>
      <w:pPr>
        <w:pStyle w:val="Heading2"/>
        <w:spacing w:after="120" w:before="300"/>
      </w:pPr>
      <w:bookmarkStart w:id="100017" w:name="_Toc100017"/>
      <w:r>
        <w:rPr>
          <w:rFonts w:ascii="Calibri" w:eastAsia="SimHei"/>
          <w:b/>
          <w:bCs/>
          <w:color w:val="0A1628"/>
          <w:sz w:val="28"/>
          <w:szCs w:val="28"/>
        </w:rPr>
        <w:t xml:space="preserve">3.2 Why These Choices</w:t>
      </w:r>
      <w:bookmarkEnd w:id="100017"/>
    </w:p>
    <w:p>
      <w:pPr>
        <w:pStyle w:val="ListParagraph"/>
        <w:numPr>
          <w:ilvl w:val="0"/>
          <w:numId w:val="4"/>
        </w:numPr>
        <w:spacing w:after="60" w:line="312"/>
      </w:pPr>
      <w:r>
        <w:rPr>
          <w:rFonts w:ascii="Calibri" w:eastAsia="Microsoft YaHei"/>
          <w:b/>
          <w:bCs/>
          <w:color w:val="0A1628"/>
          <w:sz w:val="22"/>
          <w:szCs w:val="22"/>
        </w:rPr>
        <w:t xml:space="preserve">Astro static output</w:t>
      </w:r>
      <w:r>
        <w:rPr>
          <w:rFonts w:ascii="Calibri" w:eastAsia="Microsoft YaHei"/>
          <w:color w:val="1A2B40"/>
          <w:sz w:val="22"/>
          <w:szCs w:val="22"/>
        </w:rPr>
        <w:t xml:space="preserve"> — the public site ships as pure static files behind a CDN: fastest possible page loads, zero server surface to patch, and pixel parity with the approved prototype is enforced by screenshot-diff gates.</w:t>
      </w:r>
    </w:p>
    <w:p>
      <w:pPr>
        <w:pStyle w:val="ListParagraph"/>
        <w:numPr>
          <w:ilvl w:val="0"/>
          <w:numId w:val="4"/>
        </w:numPr>
        <w:spacing w:after="60" w:line="312"/>
      </w:pPr>
      <w:r>
        <w:rPr>
          <w:rFonts w:ascii="Calibri" w:eastAsia="Microsoft YaHei"/>
          <w:b/>
          <w:bCs/>
          <w:color w:val="0A1628"/>
          <w:sz w:val="22"/>
          <w:szCs w:val="22"/>
        </w:rPr>
        <w:t xml:space="preserve">Embedded PGlite in dev, real Postgres in production</w:t>
      </w:r>
      <w:r>
        <w:rPr>
          <w:rFonts w:ascii="Calibri" w:eastAsia="Microsoft YaHei"/>
          <w:color w:val="1A2B40"/>
          <w:sz w:val="22"/>
          <w:szCs w:val="22"/>
        </w:rPr>
        <w:t xml:space="preserve"> — a single developer command boots the full stack with a real Postgres dialect in-process, while production connects over the wire with no code changes. The API hard-refuses PGlite when NODE_ENV=production.</w:t>
      </w:r>
    </w:p>
    <w:p>
      <w:pPr>
        <w:pStyle w:val="ListParagraph"/>
        <w:numPr>
          <w:ilvl w:val="0"/>
          <w:numId w:val="4"/>
        </w:numPr>
        <w:spacing w:after="60" w:line="312"/>
      </w:pPr>
      <w:r>
        <w:rPr>
          <w:rFonts w:ascii="Calibri" w:eastAsia="Microsoft YaHei"/>
          <w:b/>
          <w:bCs/>
          <w:color w:val="0A1628"/>
          <w:sz w:val="22"/>
          <w:szCs w:val="22"/>
        </w:rPr>
        <w:t xml:space="preserve">Better Auth with TOTP MFA</w:t>
      </w:r>
      <w:r>
        <w:rPr>
          <w:rFonts w:ascii="Calibri" w:eastAsia="Microsoft YaHei"/>
          <w:color w:val="1A2B40"/>
          <w:sz w:val="22"/>
          <w:szCs w:val="22"/>
        </w:rPr>
        <w:t xml:space="preserve"> — production-grade session management, hardware-independent two-factor enrollment with QR code and backup codes, and an admin plugin providing user ban/session-revocation primitives.</w:t>
      </w:r>
    </w:p>
    <w:p>
      <w:pPr>
        <w:pStyle w:val="ListParagraph"/>
        <w:numPr>
          <w:ilvl w:val="0"/>
          <w:numId w:val="4"/>
        </w:numPr>
        <w:spacing w:after="60" w:line="312"/>
      </w:pPr>
      <w:r>
        <w:rPr>
          <w:rFonts w:ascii="Calibri" w:eastAsia="Microsoft YaHei"/>
          <w:b/>
          <w:bCs/>
          <w:color w:val="0A1628"/>
          <w:sz w:val="22"/>
          <w:szCs w:val="22"/>
        </w:rPr>
        <w:t xml:space="preserve">Zod contracts shared across all three apps</w:t>
      </w:r>
      <w:r>
        <w:rPr>
          <w:rFonts w:ascii="Calibri" w:eastAsia="Microsoft YaHei"/>
          <w:color w:val="1A2B40"/>
          <w:sz w:val="22"/>
          <w:szCs w:val="22"/>
        </w:rPr>
        <w:t xml:space="preserve"> — one schema definition validates the API route, the admin form and the public payload, eliminating the classic three-apps-three-validations drift.</w:t>
      </w:r>
    </w:p>
    <w:p>
      <w:pPr>
        <w:pStyle w:val="ListParagraph"/>
        <w:numPr>
          <w:ilvl w:val="0"/>
          <w:numId w:val="4"/>
        </w:numPr>
        <w:spacing w:after="60" w:line="312"/>
      </w:pPr>
      <w:r>
        <w:rPr>
          <w:rFonts w:ascii="Calibri" w:eastAsia="Microsoft YaHei"/>
          <w:b/>
          <w:bCs/>
          <w:color w:val="0A1628"/>
          <w:sz w:val="22"/>
          <w:szCs w:val="22"/>
        </w:rPr>
        <w:t xml:space="preserve">No external CMS (ADR-006)</w:t>
      </w:r>
      <w:r>
        <w:rPr>
          <w:rFonts w:ascii="Calibri" w:eastAsia="Microsoft YaHei"/>
          <w:color w:val="1A2B40"/>
          <w:sz w:val="22"/>
          <w:szCs w:val="22"/>
        </w:rPr>
        <w:t xml:space="preserve"> — the admin panel is the CMS. This keeps content, catalog and support workflows in one audit-trailed system instead of syncing to a third-party service.</w:t>
      </w:r>
    </w:p>
    <w:p>
      <w:pPr>
        <w:pStyle w:val="Heading2"/>
        <w:spacing w:after="120" w:before="300"/>
      </w:pPr>
      <w:bookmarkStart w:id="100018" w:name="_Toc100018"/>
      <w:r>
        <w:rPr>
          <w:rFonts w:ascii="Calibri" w:eastAsia="SimHei"/>
          <w:b/>
          <w:bCs/>
          <w:color w:val="0A1628"/>
          <w:sz w:val="28"/>
          <w:szCs w:val="28"/>
        </w:rPr>
        <w:t xml:space="preserve">3.3 Runtime Topology</w:t>
      </w:r>
      <w:bookmarkEnd w:id="100018"/>
    </w:p>
    <w:tbl>
      <w:tblPr>
        <w:tblW w:type="dxa" w:w="9200"/>
        <w:tblBorders>
          <w:top w:val="single" w:color="D5DDE7" w:sz="4"/>
          <w:left w:val="single" w:color="D5DDE7" w:sz="4"/>
          <w:bottom w:val="single" w:color="D5DDE7" w:sz="4"/>
          <w:right w:val="single" w:color="D5DDE7" w:sz="4"/>
          <w:insideH w:val="single" w:color="E6EBF1" w:sz="2"/>
          <w:insideV w:val="single" w:color="E6EBF1" w:sz="2"/>
        </w:tblBorders>
        <w:tblLayout w:type="fixed"/>
      </w:tblPr>
      <w:tblGrid>
        <w:gridCol w:w="1900"/>
        <w:gridCol w:w="2600"/>
        <w:gridCol w:w="2700"/>
        <w:gridCol w:w="2000"/>
      </w:tblGrid>
      <w:tr>
        <w:trPr>
          <w:cantSplit/>
          <w:tblHeader/>
        </w:trPr>
        <w:tc>
          <w:tcPr>
            <w:tcW w:type="dxa" w:w="1900"/>
            <w:shd w:fill="0A1628" w:val="clear"/>
            <w:tcMar>
              <w:top w:type="dxa" w:w="80"/>
              <w:left w:type="dxa" w:w="120"/>
              <w:bottom w:type="dxa" w:w="80"/>
              <w:right w:type="dxa" w:w="120"/>
            </w:tcMar>
            <w:vAlign w:val="center"/>
          </w:tcPr>
          <w:p>
            <w:r>
              <w:rPr>
                <w:rFonts w:ascii="Calibri" w:eastAsia="Microsoft YaHei"/>
                <w:b/>
                <w:bCs/>
                <w:color w:val="FFFFFF"/>
                <w:sz w:val="19"/>
                <w:szCs w:val="19"/>
              </w:rPr>
              <w:t xml:space="preserve">Surface</w:t>
            </w:r>
          </w:p>
        </w:tc>
        <w:tc>
          <w:tcPr>
            <w:tcW w:type="dxa" w:w="2600"/>
            <w:shd w:fill="0A1628" w:val="clear"/>
            <w:tcMar>
              <w:top w:type="dxa" w:w="80"/>
              <w:left w:type="dxa" w:w="120"/>
              <w:bottom w:type="dxa" w:w="80"/>
              <w:right w:type="dxa" w:w="120"/>
            </w:tcMar>
            <w:vAlign w:val="center"/>
          </w:tcPr>
          <w:p>
            <w:r>
              <w:rPr>
                <w:rFonts w:ascii="Calibri" w:eastAsia="Microsoft YaHei"/>
                <w:b/>
                <w:bCs/>
                <w:color w:val="FFFFFF"/>
                <w:sz w:val="19"/>
                <w:szCs w:val="19"/>
              </w:rPr>
              <w:t xml:space="preserve">Dev URL</w:t>
            </w:r>
          </w:p>
        </w:tc>
        <w:tc>
          <w:tcPr>
            <w:tcW w:type="dxa" w:w="2700"/>
            <w:shd w:fill="0A1628" w:val="clear"/>
            <w:tcMar>
              <w:top w:type="dxa" w:w="80"/>
              <w:left w:type="dxa" w:w="120"/>
              <w:bottom w:type="dxa" w:w="80"/>
              <w:right w:type="dxa" w:w="120"/>
            </w:tcMar>
            <w:vAlign w:val="center"/>
          </w:tcPr>
          <w:p>
            <w:r>
              <w:rPr>
                <w:rFonts w:ascii="Calibri" w:eastAsia="Microsoft YaHei"/>
                <w:b/>
                <w:bCs/>
                <w:color w:val="FFFFFF"/>
                <w:sz w:val="19"/>
                <w:szCs w:val="19"/>
              </w:rPr>
              <w:t xml:space="preserve">Production URL</w:t>
            </w:r>
          </w:p>
        </w:tc>
        <w:tc>
          <w:tcPr>
            <w:tcW w:type="dxa" w:w="2000"/>
            <w:shd w:fill="0A1628" w:val="clear"/>
            <w:tcMar>
              <w:top w:type="dxa" w:w="80"/>
              <w:left w:type="dxa" w:w="120"/>
              <w:bottom w:type="dxa" w:w="80"/>
              <w:right w:type="dxa" w:w="120"/>
            </w:tcMar>
            <w:vAlign w:val="center"/>
          </w:tcPr>
          <w:p>
            <w:r>
              <w:rPr>
                <w:rFonts w:ascii="Calibri" w:eastAsia="Microsoft YaHei"/>
                <w:b/>
                <w:bCs/>
                <w:color w:val="FFFFFF"/>
                <w:sz w:val="19"/>
                <w:szCs w:val="19"/>
              </w:rPr>
              <w:t xml:space="preserve">Served by</w:t>
            </w:r>
          </w:p>
        </w:tc>
      </w:tr>
      <w:tr>
        <w:trPr>
          <w:cantSplit/>
        </w:trPr>
        <w:tc>
          <w:tcPr>
            <w:tcW w:type="dxa" w:w="1900"/>
            <w:shd w:fill="FFFFFF" w:val="clear"/>
            <w:tcMar>
              <w:top w:type="dxa" w:w="60"/>
              <w:left w:type="dxa" w:w="120"/>
              <w:bottom w:type="dxa" w:w="60"/>
              <w:right w:type="dxa" w:w="120"/>
            </w:tcMar>
          </w:tcPr>
          <w:p>
            <w:r>
              <w:rPr>
                <w:rFonts w:ascii="Calibri" w:eastAsia="Microsoft YaHei"/>
                <w:color w:val="1A2B40"/>
                <w:sz w:val="19"/>
                <w:szCs w:val="19"/>
              </w:rPr>
              <w:t xml:space="preserve">Public website</w:t>
            </w:r>
          </w:p>
        </w:tc>
        <w:tc>
          <w:tcPr>
            <w:tcW w:type="dxa" w:w="2600"/>
            <w:shd w:fill="FFFFFF" w:val="clear"/>
            <w:tcMar>
              <w:top w:type="dxa" w:w="60"/>
              <w:left w:type="dxa" w:w="120"/>
              <w:bottom w:type="dxa" w:w="60"/>
              <w:right w:type="dxa" w:w="120"/>
            </w:tcMar>
          </w:tcPr>
          <w:p>
            <w:r>
              <w:rPr>
                <w:rFonts w:ascii="Calibri" w:eastAsia="Microsoft YaHei"/>
                <w:color w:val="1A2B40"/>
                <w:sz w:val="19"/>
                <w:szCs w:val="19"/>
              </w:rPr>
              <w:t xml:space="preserve">http://localhost:4321/</w:t>
            </w:r>
          </w:p>
        </w:tc>
        <w:tc>
          <w:tcPr>
            <w:tcW w:type="dxa" w:w="2700"/>
            <w:shd w:fill="FFFFFF" w:val="clear"/>
            <w:tcMar>
              <w:top w:type="dxa" w:w="60"/>
              <w:left w:type="dxa" w:w="120"/>
              <w:bottom w:type="dxa" w:w="60"/>
              <w:right w:type="dxa" w:w="120"/>
            </w:tcMar>
          </w:tcPr>
          <w:p>
            <w:r>
              <w:rPr>
                <w:rFonts w:ascii="Calibri" w:eastAsia="Microsoft YaHei"/>
                <w:color w:val="1A2B40"/>
                <w:sz w:val="19"/>
                <w:szCs w:val="19"/>
              </w:rPr>
              <w:t xml:space="preserve">https://www.twinmos.com/</w:t>
            </w:r>
          </w:p>
        </w:tc>
        <w:tc>
          <w:tcPr>
            <w:tcW w:type="dxa" w:w="2000"/>
            <w:shd w:fill="FFFFFF" w:val="clear"/>
            <w:tcMar>
              <w:top w:type="dxa" w:w="60"/>
              <w:left w:type="dxa" w:w="120"/>
              <w:bottom w:type="dxa" w:w="60"/>
              <w:right w:type="dxa" w:w="120"/>
            </w:tcMar>
          </w:tcPr>
          <w:p>
            <w:r>
              <w:rPr>
                <w:rFonts w:ascii="Calibri" w:eastAsia="Microsoft YaHei"/>
                <w:color w:val="1A2B40"/>
                <w:sz w:val="19"/>
                <w:szCs w:val="19"/>
              </w:rPr>
              <w:t xml:space="preserve">nginx static files (CDN-cached)</w:t>
            </w:r>
          </w:p>
        </w:tc>
      </w:tr>
      <w:tr>
        <w:trPr>
          <w:cantSplit/>
        </w:trPr>
        <w:tc>
          <w:tcPr>
            <w:tcW w:type="dxa" w:w="1900"/>
            <w:shd w:fill="F4F8FC" w:val="clear"/>
            <w:tcMar>
              <w:top w:type="dxa" w:w="60"/>
              <w:left w:type="dxa" w:w="120"/>
              <w:bottom w:type="dxa" w:w="60"/>
              <w:right w:type="dxa" w:w="120"/>
            </w:tcMar>
          </w:tcPr>
          <w:p>
            <w:r>
              <w:rPr>
                <w:rFonts w:ascii="Calibri" w:eastAsia="Microsoft YaHei"/>
                <w:color w:val="1A2B40"/>
                <w:sz w:val="19"/>
                <w:szCs w:val="19"/>
              </w:rPr>
              <w:t xml:space="preserve">Admin console</w:t>
            </w:r>
          </w:p>
        </w:tc>
        <w:tc>
          <w:tcPr>
            <w:tcW w:type="dxa" w:w="2600"/>
            <w:shd w:fill="F4F8FC" w:val="clear"/>
            <w:tcMar>
              <w:top w:type="dxa" w:w="60"/>
              <w:left w:type="dxa" w:w="120"/>
              <w:bottom w:type="dxa" w:w="60"/>
              <w:right w:type="dxa" w:w="120"/>
            </w:tcMar>
          </w:tcPr>
          <w:p>
            <w:r>
              <w:rPr>
                <w:rFonts w:ascii="Calibri" w:eastAsia="Microsoft YaHei"/>
                <w:color w:val="1A2B40"/>
                <w:sz w:val="19"/>
                <w:szCs w:val="19"/>
              </w:rPr>
              <w:t xml:space="preserve">http://localhost:5173/</w:t>
            </w:r>
          </w:p>
        </w:tc>
        <w:tc>
          <w:tcPr>
            <w:tcW w:type="dxa" w:w="2700"/>
            <w:shd w:fill="F4F8FC" w:val="clear"/>
            <w:tcMar>
              <w:top w:type="dxa" w:w="60"/>
              <w:left w:type="dxa" w:w="120"/>
              <w:bottom w:type="dxa" w:w="60"/>
              <w:right w:type="dxa" w:w="120"/>
            </w:tcMar>
          </w:tcPr>
          <w:p>
            <w:r>
              <w:rPr>
                <w:rFonts w:ascii="Calibri" w:eastAsia="Microsoft YaHei"/>
                <w:color w:val="1A2B40"/>
                <w:sz w:val="19"/>
                <w:szCs w:val="19"/>
              </w:rPr>
              <w:t xml:space="preserve">https://www.twinmos.com/admin/</w:t>
            </w:r>
          </w:p>
        </w:tc>
        <w:tc>
          <w:tcPr>
            <w:tcW w:type="dxa" w:w="2000"/>
            <w:shd w:fill="F4F8FC" w:val="clear"/>
            <w:tcMar>
              <w:top w:type="dxa" w:w="60"/>
              <w:left w:type="dxa" w:w="120"/>
              <w:bottom w:type="dxa" w:w="60"/>
              <w:right w:type="dxa" w:w="120"/>
            </w:tcMar>
          </w:tcPr>
          <w:p>
            <w:r>
              <w:rPr>
                <w:rFonts w:ascii="Calibri" w:eastAsia="Microsoft YaHei"/>
                <w:color w:val="1A2B40"/>
                <w:sz w:val="19"/>
                <w:szCs w:val="19"/>
              </w:rPr>
              <w:t xml:space="preserve">nginx static SPA shell</w:t>
            </w:r>
          </w:p>
        </w:tc>
      </w:tr>
      <w:tr>
        <w:trPr>
          <w:cantSplit/>
        </w:trPr>
        <w:tc>
          <w:tcPr>
            <w:tcW w:type="dxa" w:w="1900"/>
            <w:shd w:fill="FFFFFF" w:val="clear"/>
            <w:tcMar>
              <w:top w:type="dxa" w:w="60"/>
              <w:left w:type="dxa" w:w="120"/>
              <w:bottom w:type="dxa" w:w="60"/>
              <w:right w:type="dxa" w:w="120"/>
            </w:tcMar>
          </w:tcPr>
          <w:p>
            <w:r>
              <w:rPr>
                <w:rFonts w:ascii="Calibri" w:eastAsia="Microsoft YaHei"/>
                <w:color w:val="1A2B40"/>
                <w:sz w:val="19"/>
                <w:szCs w:val="19"/>
              </w:rPr>
              <w:t xml:space="preserve">API</w:t>
            </w:r>
          </w:p>
        </w:tc>
        <w:tc>
          <w:tcPr>
            <w:tcW w:type="dxa" w:w="2600"/>
            <w:shd w:fill="FFFFFF" w:val="clear"/>
            <w:tcMar>
              <w:top w:type="dxa" w:w="60"/>
              <w:left w:type="dxa" w:w="120"/>
              <w:bottom w:type="dxa" w:w="60"/>
              <w:right w:type="dxa" w:w="120"/>
            </w:tcMar>
          </w:tcPr>
          <w:p>
            <w:r>
              <w:rPr>
                <w:rFonts w:ascii="Calibri" w:eastAsia="Microsoft YaHei"/>
                <w:color w:val="1A2B40"/>
                <w:sz w:val="19"/>
                <w:szCs w:val="19"/>
              </w:rPr>
              <w:t xml:space="preserve">http://127.0.0.1:8787/api/v1/</w:t>
            </w:r>
          </w:p>
        </w:tc>
        <w:tc>
          <w:tcPr>
            <w:tcW w:type="dxa" w:w="2700"/>
            <w:shd w:fill="FFFFFF" w:val="clear"/>
            <w:tcMar>
              <w:top w:type="dxa" w:w="60"/>
              <w:left w:type="dxa" w:w="120"/>
              <w:bottom w:type="dxa" w:w="60"/>
              <w:right w:type="dxa" w:w="120"/>
            </w:tcMar>
          </w:tcPr>
          <w:p>
            <w:r>
              <w:rPr>
                <w:rFonts w:ascii="Calibri" w:eastAsia="Microsoft YaHei"/>
                <w:color w:val="1A2B40"/>
                <w:sz w:val="19"/>
                <w:szCs w:val="19"/>
              </w:rPr>
              <w:t xml:space="preserve">https://www.twinmos.com/api/v1/</w:t>
            </w:r>
          </w:p>
        </w:tc>
        <w:tc>
          <w:tcPr>
            <w:tcW w:type="dxa" w:w="2000"/>
            <w:shd w:fill="FFFFFF" w:val="clear"/>
            <w:tcMar>
              <w:top w:type="dxa" w:w="60"/>
              <w:left w:type="dxa" w:w="120"/>
              <w:bottom w:type="dxa" w:w="60"/>
              <w:right w:type="dxa" w:w="120"/>
            </w:tcMar>
          </w:tcPr>
          <w:p>
            <w:r>
              <w:rPr>
                <w:rFonts w:ascii="Calibri" w:eastAsia="Microsoft YaHei"/>
                <w:color w:val="1A2B40"/>
                <w:sz w:val="19"/>
                <w:szCs w:val="19"/>
              </w:rPr>
              <w:t xml:space="preserve">Node systemd service behind nginx /api/ proxy</w:t>
            </w:r>
          </w:p>
        </w:tc>
      </w:tr>
      <w:tr>
        <w:trPr>
          <w:cantSplit/>
        </w:trPr>
        <w:tc>
          <w:tcPr>
            <w:tcW w:type="dxa" w:w="1900"/>
            <w:shd w:fill="F4F8FC" w:val="clear"/>
            <w:tcMar>
              <w:top w:type="dxa" w:w="60"/>
              <w:left w:type="dxa" w:w="120"/>
              <w:bottom w:type="dxa" w:w="60"/>
              <w:right w:type="dxa" w:w="120"/>
            </w:tcMar>
          </w:tcPr>
          <w:p>
            <w:r>
              <w:rPr>
                <w:rFonts w:ascii="Calibri" w:eastAsia="Microsoft YaHei"/>
                <w:color w:val="1A2B40"/>
                <w:sz w:val="19"/>
                <w:szCs w:val="19"/>
              </w:rPr>
              <w:t xml:space="preserve">Database</w:t>
            </w:r>
          </w:p>
        </w:tc>
        <w:tc>
          <w:tcPr>
            <w:tcW w:type="dxa" w:w="2600"/>
            <w:shd w:fill="F4F8FC" w:val="clear"/>
            <w:tcMar>
              <w:top w:type="dxa" w:w="60"/>
              <w:left w:type="dxa" w:w="120"/>
              <w:bottom w:type="dxa" w:w="60"/>
              <w:right w:type="dxa" w:w="120"/>
            </w:tcMar>
          </w:tcPr>
          <w:p>
            <w:r>
              <w:rPr>
                <w:rFonts w:ascii="Calibri" w:eastAsia="Microsoft YaHei"/>
                <w:color w:val="1A2B40"/>
                <w:sz w:val="19"/>
                <w:szCs w:val="19"/>
              </w:rPr>
              <w:t xml:space="preserve">./apps/api/data/dev.pgdata (PGlite)</w:t>
            </w:r>
          </w:p>
        </w:tc>
        <w:tc>
          <w:tcPr>
            <w:tcW w:type="dxa" w:w="2700"/>
            <w:shd w:fill="F4F8FC" w:val="clear"/>
            <w:tcMar>
              <w:top w:type="dxa" w:w="60"/>
              <w:left w:type="dxa" w:w="120"/>
              <w:bottom w:type="dxa" w:w="60"/>
              <w:right w:type="dxa" w:w="120"/>
            </w:tcMar>
          </w:tcPr>
          <w:p>
            <w:r>
              <w:rPr>
                <w:rFonts w:ascii="Calibri" w:eastAsia="Microsoft YaHei"/>
                <w:color w:val="1A2B40"/>
                <w:sz w:val="19"/>
                <w:szCs w:val="19"/>
              </w:rPr>
              <w:t xml:space="preserve">PostgreSQL 16 (same VM or dedicated)</w:t>
            </w:r>
          </w:p>
        </w:tc>
        <w:tc>
          <w:tcPr>
            <w:tcW w:type="dxa" w:w="2000"/>
            <w:shd w:fill="F4F8FC" w:val="clear"/>
            <w:tcMar>
              <w:top w:type="dxa" w:w="60"/>
              <w:left w:type="dxa" w:w="120"/>
              <w:bottom w:type="dxa" w:w="60"/>
              <w:right w:type="dxa" w:w="120"/>
            </w:tcMar>
          </w:tcPr>
          <w:p>
            <w:r>
              <w:rPr>
                <w:rFonts w:ascii="Calibri" w:eastAsia="Microsoft YaHei"/>
                <w:color w:val="1A2B40"/>
                <w:sz w:val="19"/>
                <w:szCs w:val="19"/>
              </w:rPr>
              <w:t xml:space="preserve">—</w:t>
            </w:r>
          </w:p>
        </w:tc>
      </w:tr>
    </w:tbl>
    <w:p>
      <w:pPr>
        <w:spacing w:after="120"/>
      </w:pPr>
    </w:p>
    <w:tbl>
      <w:tblPr>
        <w:tblW w:type="pct" w:w="5000"/>
        <w:tblBorders>
          <w:top w:val="none" w:color="FFFFFF" w:sz="0"/>
          <w:left w:val="single" w:color="0E9F7E" w:sz="16"/>
          <w:bottom w:val="none" w:color="FFFFFF" w:sz="0"/>
          <w:right w:val="none" w:color="FFFFFF" w:sz="0"/>
          <w:insideH w:val="single" w:color="auto" w:sz="4"/>
          <w:insideV w:val="single" w:color="auto" w:sz="4"/>
        </w:tblBorders>
        <w:tblLayout w:type="fixed"/>
      </w:tblPr>
      <w:tblGrid>
        <w:gridCol w:w="8788"/>
      </w:tblGrid>
      <w:tr>
        <w:tc>
          <w:tcPr>
            <w:shd w:fill="EDFAF6" w:val="clear"/>
            <w:tcMar>
              <w:top w:type="dxa" w:w="100"/>
              <w:left w:type="dxa" w:w="200"/>
              <w:bottom w:type="dxa" w:w="100"/>
              <w:right w:type="dxa" w:w="160"/>
            </w:tcMar>
          </w:tcPr>
          <w:p>
            <w:pPr>
              <w:spacing w:line="300"/>
            </w:pPr>
            <w:r>
              <w:rPr>
                <w:rFonts w:ascii="Calibri" w:eastAsia="Microsoft YaHei"/>
                <w:b/>
                <w:bCs/>
                <w:color w:val="0E9F7E"/>
                <w:sz w:val="20"/>
                <w:szCs w:val="20"/>
              </w:rPr>
              <w:t xml:space="preserve">NOTE — </w:t>
            </w:r>
            <w:r>
              <w:rPr>
                <w:rFonts w:ascii="Calibri" w:eastAsia="Microsoft YaHei"/>
                <w:color w:val="1A2B40"/>
                <w:sz w:val="20"/>
                <w:szCs w:val="20"/>
              </w:rPr>
              <w:t xml:space="preserve">In development the three surfaces run on separate ports and the site talks to the API cross-origin (PUBLIC_API_URL + ALLOWED_ORIGIN in apps/web/.env and the root .env). In production everything is same-origin behind one nginx server block, which is why the production templates leave those cross-origin settings unset.</w:t>
            </w:r>
          </w:p>
        </w:tc>
      </w:tr>
    </w:tbl>
    <w:p>
      <w:pPr>
        <w:pStyle w:val="Heading1"/>
        <w:spacing w:after="160" w:before="400"/>
      </w:pPr>
      <w:bookmarkStart w:id="100019" w:name="_Toc100019"/>
      <w:r>
        <w:rPr>
          <w:rFonts w:ascii="Calibri" w:eastAsia="SimHei"/>
          <w:b/>
          <w:bCs/>
          <w:color w:val="0A1628"/>
          <w:sz w:val="34"/>
          <w:szCs w:val="34"/>
        </w:rPr>
        <w:t xml:space="preserve">4. System Architecture</w:t>
      </w:r>
      <w:bookmarkEnd w:id="100019"/>
    </w:p>
    <w:p>
      <w:pPr>
        <w:pStyle w:val="Heading2"/>
        <w:spacing w:after="120" w:before="300"/>
      </w:pPr>
      <w:bookmarkStart w:id="100020" w:name="_Toc100020"/>
      <w:r>
        <w:rPr>
          <w:rFonts w:ascii="Calibri" w:eastAsia="SimHei"/>
          <w:b/>
          <w:bCs/>
          <w:color w:val="0A1628"/>
          <w:sz w:val="28"/>
          <w:szCs w:val="28"/>
        </w:rPr>
        <w:t xml:space="preserve">4.1 Monorepo Layout</w:t>
      </w:r>
      <w:bookmarkEnd w:id="100020"/>
    </w:p>
    <w:tbl>
      <w:tblPr>
        <w:tblW w:type="pct" w:w="5000"/>
        <w:tblBorders>
          <w:top w:val="single" w:color="DCE3EB" w:sz="4"/>
          <w:left w:val="single" w:color="DCE3EB" w:sz="4"/>
          <w:bottom w:val="single" w:color="DCE3EB" w:sz="4"/>
          <w:right w:val="single" w:color="DCE3EB" w:sz="4"/>
          <w:insideH w:val="none" w:color="FFFFFF" w:sz="0"/>
          <w:insideV w:val="none" w:color="FFFFFF" w:sz="0"/>
        </w:tblBorders>
        <w:tblLayout w:type="fixed"/>
      </w:tblPr>
      <w:tblGrid>
        <w:gridCol w:w="8788"/>
      </w:tblGrid>
      <w:tr>
        <w:tc>
          <w:tcPr>
            <w:shd w:fill="F4F7FA" w:val="clear"/>
            <w:tcMar>
              <w:top w:type="dxa" w:w="120"/>
              <w:left w:type="dxa" w:w="200"/>
              <w:bottom w:type="dxa" w:w="120"/>
              <w:right w:type="dxa" w:w="200"/>
            </w:tcMar>
          </w:tcPr>
          <w:p>
            <w:pPr>
              <w:spacing w:line="264"/>
            </w:pPr>
            <w:r>
              <w:rPr>
                <w:rFonts w:ascii="Courier New" w:eastAsia="Microsoft YaHei"/>
                <w:color w:val="24344A"/>
                <w:sz w:val="18"/>
                <w:szCs w:val="18"/>
              </w:rPr>
              <w:t xml:space="preserve">twinmso_codebase/</w:t>
            </w:r>
          </w:p>
          <w:p>
            <w:pPr>
              <w:spacing w:line="264"/>
            </w:pPr>
            <w:r>
              <w:rPr>
                <w:rFonts w:ascii="Courier New" w:eastAsia="Microsoft YaHei"/>
                <w:color w:val="24344A"/>
                <w:sz w:val="18"/>
                <w:szCs w:val="18"/>
              </w:rPr>
              <w:t xml:space="preserve">├─ apps/</w:t>
            </w:r>
          </w:p>
          <w:p>
            <w:pPr>
              <w:spacing w:line="264"/>
            </w:pPr>
            <w:r>
              <w:rPr>
                <w:rFonts w:ascii="Courier New" w:eastAsia="Microsoft YaHei"/>
                <w:color w:val="24344A"/>
                <w:sz w:val="18"/>
                <w:szCs w:val="18"/>
              </w:rPr>
              <w:t xml:space="preserve">│   ├─ web/      — Astro public site (28 pages)</w:t>
            </w:r>
          </w:p>
          <w:p>
            <w:pPr>
              <w:spacing w:line="264"/>
            </w:pPr>
            <w:r>
              <w:rPr>
                <w:rFonts w:ascii="Courier New" w:eastAsia="Microsoft YaHei"/>
                <w:color w:val="24344A"/>
                <w:sz w:val="18"/>
                <w:szCs w:val="18"/>
              </w:rPr>
              <w:t xml:space="preserve">│   ├─ admin/    — React 19 admin SPA (15 modules)</w:t>
            </w:r>
          </w:p>
          <w:p>
            <w:pPr>
              <w:spacing w:line="264"/>
            </w:pPr>
            <w:r>
              <w:rPr>
                <w:rFonts w:ascii="Courier New" w:eastAsia="Microsoft YaHei"/>
                <w:color w:val="24344A"/>
                <w:sz w:val="18"/>
                <w:szCs w:val="18"/>
              </w:rPr>
              <w:t xml:space="preserve">│   └─ api/      — Hono REST API + scripts (migrate/seed/reset)</w:t>
            </w:r>
          </w:p>
          <w:p>
            <w:pPr>
              <w:spacing w:line="264"/>
            </w:pPr>
            <w:r>
              <w:rPr>
                <w:rFonts w:ascii="Courier New" w:eastAsia="Microsoft YaHei"/>
                <w:color w:val="24344A"/>
                <w:sz w:val="18"/>
                <w:szCs w:val="18"/>
              </w:rPr>
              <w:t xml:space="preserve">├─ packages/</w:t>
            </w:r>
          </w:p>
          <w:p>
            <w:pPr>
              <w:spacing w:line="264"/>
            </w:pPr>
            <w:r>
              <w:rPr>
                <w:rFonts w:ascii="Courier New" w:eastAsia="Microsoft YaHei"/>
                <w:color w:val="24344A"/>
                <w:sz w:val="18"/>
                <w:szCs w:val="18"/>
              </w:rPr>
              <w:t xml:space="preserve">│   ├─ db/       — Drizzle schema (36 tables), migrations, PGlite client</w:t>
            </w:r>
          </w:p>
          <w:p>
            <w:pPr>
              <w:spacing w:line="264"/>
            </w:pPr>
            <w:r>
              <w:rPr>
                <w:rFonts w:ascii="Courier New" w:eastAsia="Microsoft YaHei"/>
                <w:color w:val="24344A"/>
                <w:sz w:val="18"/>
                <w:szCs w:val="18"/>
              </w:rPr>
              <w:t xml:space="preserve">│   └─ shared/   — Zod contracts, enums, RBAC matrix</w:t>
            </w:r>
          </w:p>
          <w:p>
            <w:pPr>
              <w:spacing w:line="264"/>
            </w:pPr>
            <w:r>
              <w:rPr>
                <w:rFonts w:ascii="Courier New" w:eastAsia="Microsoft YaHei"/>
                <w:color w:val="24344A"/>
                <w:sz w:val="18"/>
                <w:szCs w:val="18"/>
              </w:rPr>
              <w:t xml:space="preserve">├─ tooling/          — importers/exporters, DR drill, OWASP-equivalent scan</w:t>
            </w:r>
          </w:p>
          <w:p>
            <w:pPr>
              <w:spacing w:line="264"/>
            </w:pPr>
            <w:r>
              <w:rPr>
                <w:rFonts w:ascii="Courier New" w:eastAsia="Microsoft YaHei"/>
                <w:color w:val="24344A"/>
                <w:sz w:val="18"/>
                <w:szCs w:val="18"/>
              </w:rPr>
              <w:t xml:space="preserve">├─ deploy/           — nginx.conf, systemd unit, backup/restore scripts</w:t>
            </w:r>
          </w:p>
          <w:p>
            <w:pPr>
              <w:spacing w:line="264"/>
            </w:pPr>
            <w:r>
              <w:rPr>
                <w:rFonts w:ascii="Courier New" w:eastAsia="Microsoft YaHei"/>
                <w:color w:val="24344A"/>
                <w:sz w:val="18"/>
                <w:szCs w:val="18"/>
              </w:rPr>
              <w:t xml:space="preserve">└─ docs/             — master plan, specs, ADRs, phase evidence, runbooks</w:t>
            </w:r>
          </w:p>
        </w:tc>
      </w:tr>
    </w:tbl>
    <w:p>
      <w:pPr>
        <w:spacing w:after="120"/>
      </w:pPr>
    </w:p>
    <w:p>
      <w:pPr>
        <w:pStyle w:val="Heading2"/>
        <w:spacing w:after="120" w:before="300"/>
      </w:pPr>
      <w:bookmarkStart w:id="100021" w:name="_Toc100021"/>
      <w:r>
        <w:rPr>
          <w:rFonts w:ascii="Calibri" w:eastAsia="SimHei"/>
          <w:b/>
          <w:bCs/>
          <w:color w:val="0A1628"/>
          <w:sz w:val="28"/>
          <w:szCs w:val="28"/>
        </w:rPr>
        <w:t xml:space="preserve">4.2 The Content Pipeline (How Admin Changes Reach the Website)</w:t>
      </w:r>
      <w:bookmarkEnd w:id="100021"/>
    </w:p>
    <w:p>
      <w:pPr>
        <w:spacing w:after="120" w:line="312"/>
        <w:jc w:val="both"/>
      </w:pPr>
      <w:r>
        <w:rPr>
          <w:rFonts w:ascii="Calibri" w:eastAsia="Microsoft YaHei"/>
          <w:color w:val="1A2B40"/>
          <w:sz w:val="22"/>
          <w:szCs w:val="22"/>
        </w:rPr>
        <w:t xml:space="preserve">Because the public site is static, published content moves through an explicit export-and-merge bridge rather than server-side rendering:</w:t>
      </w:r>
    </w:p>
    <w:p>
      <w:pPr>
        <w:pStyle w:val="ListParagraph"/>
        <w:numPr>
          <w:ilvl w:val="0"/>
          <w:numId w:val="5"/>
        </w:numPr>
        <w:spacing w:after="60" w:line="312"/>
      </w:pPr>
      <w:r>
        <w:rPr>
          <w:rFonts w:ascii="Calibri" w:eastAsia="Microsoft YaHei"/>
          <w:color w:val="1A2B40"/>
          <w:sz w:val="22"/>
          <w:szCs w:val="22"/>
        </w:rPr>
        <w:t xml:space="preserve">An editor publishes content in the admin console (product, article, job posting, compatibility rule, distributor entry). The API writes the row and an audit-trail entry.</w:t>
      </w:r>
    </w:p>
    <w:p>
      <w:pPr>
        <w:pStyle w:val="ListParagraph"/>
        <w:numPr>
          <w:ilvl w:val="0"/>
          <w:numId w:val="5"/>
        </w:numPr>
        <w:spacing w:after="60" w:line="312"/>
      </w:pPr>
      <w:r>
        <w:rPr>
          <w:rFonts w:ascii="Calibri" w:eastAsia="Microsoft YaHei"/>
          <w:color w:val="1A2B40"/>
          <w:sz w:val="22"/>
          <w:szCs w:val="22"/>
        </w:rPr>
        <w:t xml:space="preserve">The build-time exporter (</w:t>
      </w:r>
      <w:r>
        <w:rPr>
          <w:rFonts w:ascii="Courier New" w:eastAsia="Microsoft YaHei"/>
          <w:color w:val="0E9F7E"/>
          <w:sz w:val="19"/>
          <w:szCs w:val="19"/>
        </w:rPr>
        <w:t xml:space="preserve">tooling/export-content.mjs</w:t>
      </w:r>
      <w:r>
        <w:rPr>
          <w:rFonts w:ascii="Calibri" w:eastAsia="Microsoft YaHei"/>
          <w:color w:val="1A2B40"/>
          <w:sz w:val="22"/>
          <w:szCs w:val="22"/>
        </w:rPr>
        <w:t xml:space="preserve">) queries the database for published-and-due records and regenerates </w:t>
      </w:r>
      <w:r>
        <w:rPr>
          <w:rFonts w:ascii="Courier New" w:eastAsia="Microsoft YaHei"/>
          <w:color w:val="0E9F7E"/>
          <w:sz w:val="19"/>
          <w:szCs w:val="19"/>
        </w:rPr>
        <w:t xml:space="preserve">apps/web/public/assets/js/cms-content.js</w:t>
      </w:r>
      <w:r>
        <w:rPr>
          <w:rFonts w:ascii="Calibri" w:eastAsia="Microsoft YaHei"/>
          <w:color w:val="1A2B40"/>
          <w:sz w:val="22"/>
          <w:szCs w:val="22"/>
        </w:rPr>
        <w:t xml:space="preserve"> — a small static data file shipped with the site.</w:t>
      </w:r>
    </w:p>
    <w:p>
      <w:pPr>
        <w:pStyle w:val="ListParagraph"/>
        <w:numPr>
          <w:ilvl w:val="0"/>
          <w:numId w:val="5"/>
        </w:numPr>
        <w:spacing w:after="60" w:line="312"/>
      </w:pPr>
      <w:r>
        <w:rPr>
          <w:rFonts w:ascii="Calibri" w:eastAsia="Microsoft YaHei"/>
          <w:color w:val="1A2B40"/>
          <w:sz w:val="22"/>
          <w:szCs w:val="22"/>
        </w:rPr>
        <w:t xml:space="preserve">At page load, </w:t>
      </w:r>
      <w:r>
        <w:rPr>
          <w:rFonts w:ascii="Courier New" w:eastAsia="Microsoft YaHei"/>
          <w:color w:val="0E9F7E"/>
          <w:sz w:val="19"/>
          <w:szCs w:val="19"/>
        </w:rPr>
        <w:t xml:space="preserve">cms-merge.js</w:t>
      </w:r>
      <w:r>
        <w:rPr>
          <w:rFonts w:ascii="Calibri" w:eastAsia="Microsoft YaHei"/>
          <w:color w:val="1A2B40"/>
          <w:sz w:val="22"/>
          <w:szCs w:val="22"/>
        </w:rPr>
        <w:t xml:space="preserve"> merges that file into the page data before rendering: CMS products override matching prototype entries field-by-field, new SKUs append to the shop grid, job rows join the careers openings table, compatibility rules merge into the finder hierarchy, and distributor cards join the Where-to-Buy grid — always deduplicated so nothing renders twice.</w:t>
      </w:r>
    </w:p>
    <w:p>
      <w:pPr>
        <w:pStyle w:val="ListParagraph"/>
        <w:numPr>
          <w:ilvl w:val="0"/>
          <w:numId w:val="5"/>
        </w:numPr>
        <w:spacing w:after="60" w:line="312"/>
      </w:pPr>
      <w:r>
        <w:rPr>
          <w:rFonts w:ascii="Calibri" w:eastAsia="Microsoft YaHei"/>
          <w:color w:val="1A2B40"/>
          <w:sz w:val="22"/>
          <w:szCs w:val="22"/>
        </w:rPr>
        <w:t xml:space="preserve">In production this export runs automatically in the web build's prebuild step; in development the operator re-runs the exporter after catalog edits (the exact command is in §7.6).</w:t>
      </w:r>
    </w:p>
    <w:tbl>
      <w:tblPr>
        <w:tblW w:type="pct" w:w="5000"/>
        <w:tblBorders>
          <w:top w:val="none" w:color="FFFFFF" w:sz="0"/>
          <w:left w:val="single" w:color="0E9F7E" w:sz="16"/>
          <w:bottom w:val="none" w:color="FFFFFF" w:sz="0"/>
          <w:right w:val="none" w:color="FFFFFF" w:sz="0"/>
          <w:insideH w:val="single" w:color="auto" w:sz="4"/>
          <w:insideV w:val="single" w:color="auto" w:sz="4"/>
        </w:tblBorders>
        <w:tblLayout w:type="fixed"/>
      </w:tblPr>
      <w:tblGrid>
        <w:gridCol w:w="8788"/>
      </w:tblGrid>
      <w:tr>
        <w:tc>
          <w:tcPr>
            <w:shd w:fill="EDFAF6" w:val="clear"/>
            <w:tcMar>
              <w:top w:type="dxa" w:w="100"/>
              <w:left w:type="dxa" w:w="200"/>
              <w:bottom w:type="dxa" w:w="100"/>
              <w:right w:type="dxa" w:w="160"/>
            </w:tcMar>
          </w:tcPr>
          <w:p>
            <w:pPr>
              <w:spacing w:line="300"/>
            </w:pPr>
            <w:r>
              <w:rPr>
                <w:rFonts w:ascii="Calibri" w:eastAsia="Microsoft YaHei"/>
                <w:b/>
                <w:bCs/>
                <w:color w:val="0E9F7E"/>
                <w:sz w:val="20"/>
                <w:szCs w:val="20"/>
              </w:rPr>
              <w:t xml:space="preserve">NOTE — </w:t>
            </w:r>
            <w:r>
              <w:rPr>
                <w:rFonts w:ascii="Calibri" w:eastAsia="Microsoft YaHei"/>
                <w:color w:val="1A2B40"/>
                <w:sz w:val="20"/>
                <w:szCs w:val="20"/>
              </w:rPr>
              <w:t xml:space="preserve">The bridge is field-aware: an empty CMS field never overwrites prototype data, so day-one rendering is pixel-identical to the approved design. The master plan's long-term direction is for the static prototype data to retire entirely once every entity is CMS-managed.</w:t>
            </w:r>
          </w:p>
        </w:tc>
      </w:tr>
    </w:tbl>
    <w:p>
      <w:pPr>
        <w:pStyle w:val="Heading2"/>
        <w:spacing w:after="120" w:before="300"/>
      </w:pPr>
      <w:bookmarkStart w:id="100022" w:name="_Toc100022"/>
      <w:r>
        <w:rPr>
          <w:rFonts w:ascii="Calibri" w:eastAsia="SimHei"/>
          <w:b/>
          <w:bCs/>
          <w:color w:val="0A1628"/>
          <w:sz w:val="28"/>
          <w:szCs w:val="28"/>
        </w:rPr>
        <w:t xml:space="preserve">4.3 Data Model Overview</w:t>
      </w:r>
      <w:bookmarkEnd w:id="100022"/>
    </w:p>
    <w:p>
      <w:pPr>
        <w:spacing w:after="120" w:line="312"/>
        <w:jc w:val="both"/>
      </w:pPr>
      <w:r>
        <w:rPr>
          <w:rFonts w:ascii="Calibri" w:eastAsia="Microsoft YaHei"/>
          <w:color w:val="1A2B40"/>
          <w:sz w:val="22"/>
          <w:szCs w:val="22"/>
        </w:rPr>
        <w:t xml:space="preserve">The schema (packages/db/src/schema.ts, 36 tables) groups into eight domains:</w:t>
      </w:r>
    </w:p>
    <w:tbl>
      <w:tblPr>
        <w:tblW w:type="dxa" w:w="9200"/>
        <w:tblBorders>
          <w:top w:val="single" w:color="D5DDE7" w:sz="4"/>
          <w:left w:val="single" w:color="D5DDE7" w:sz="4"/>
          <w:bottom w:val="single" w:color="D5DDE7" w:sz="4"/>
          <w:right w:val="single" w:color="D5DDE7" w:sz="4"/>
          <w:insideH w:val="single" w:color="E6EBF1" w:sz="2"/>
          <w:insideV w:val="single" w:color="E6EBF1" w:sz="2"/>
        </w:tblBorders>
        <w:tblLayout w:type="fixed"/>
      </w:tblPr>
      <w:tblGrid>
        <w:gridCol w:w="1900"/>
        <w:gridCol w:w="4200"/>
        <w:gridCol w:w="3000"/>
      </w:tblGrid>
      <w:tr>
        <w:trPr>
          <w:cantSplit/>
          <w:tblHeader/>
        </w:trPr>
        <w:tc>
          <w:tcPr>
            <w:tcW w:type="dxa" w:w="1900"/>
            <w:shd w:fill="0A1628" w:val="clear"/>
            <w:tcMar>
              <w:top w:type="dxa" w:w="80"/>
              <w:left w:type="dxa" w:w="120"/>
              <w:bottom w:type="dxa" w:w="80"/>
              <w:right w:type="dxa" w:w="120"/>
            </w:tcMar>
            <w:vAlign w:val="center"/>
          </w:tcPr>
          <w:p>
            <w:r>
              <w:rPr>
                <w:rFonts w:ascii="Calibri" w:eastAsia="Microsoft YaHei"/>
                <w:b/>
                <w:bCs/>
                <w:color w:val="FFFFFF"/>
                <w:sz w:val="19"/>
                <w:szCs w:val="19"/>
              </w:rPr>
              <w:t xml:space="preserve">Domain</w:t>
            </w:r>
          </w:p>
        </w:tc>
        <w:tc>
          <w:tcPr>
            <w:tcW w:type="dxa" w:w="4200"/>
            <w:shd w:fill="0A1628" w:val="clear"/>
            <w:tcMar>
              <w:top w:type="dxa" w:w="80"/>
              <w:left w:type="dxa" w:w="120"/>
              <w:bottom w:type="dxa" w:w="80"/>
              <w:right w:type="dxa" w:w="120"/>
            </w:tcMar>
            <w:vAlign w:val="center"/>
          </w:tcPr>
          <w:p>
            <w:r>
              <w:rPr>
                <w:rFonts w:ascii="Calibri" w:eastAsia="Microsoft YaHei"/>
                <w:b/>
                <w:bCs/>
                <w:color w:val="FFFFFF"/>
                <w:sz w:val="19"/>
                <w:szCs w:val="19"/>
              </w:rPr>
              <w:t xml:space="preserve">Tables</w:t>
            </w:r>
          </w:p>
        </w:tc>
        <w:tc>
          <w:tcPr>
            <w:tcW w:type="dxa" w:w="3000"/>
            <w:shd w:fill="0A1628" w:val="clear"/>
            <w:tcMar>
              <w:top w:type="dxa" w:w="80"/>
              <w:left w:type="dxa" w:w="120"/>
              <w:bottom w:type="dxa" w:w="80"/>
              <w:right w:type="dxa" w:w="120"/>
            </w:tcMar>
            <w:vAlign w:val="center"/>
          </w:tcPr>
          <w:p>
            <w:r>
              <w:rPr>
                <w:rFonts w:ascii="Calibri" w:eastAsia="Microsoft YaHei"/>
                <w:b/>
                <w:bCs/>
                <w:color w:val="FFFFFF"/>
                <w:sz w:val="19"/>
                <w:szCs w:val="19"/>
              </w:rPr>
              <w:t xml:space="preserve">Purpose</w:t>
            </w:r>
          </w:p>
        </w:tc>
      </w:tr>
      <w:tr>
        <w:trPr>
          <w:cantSplit/>
        </w:trPr>
        <w:tc>
          <w:tcPr>
            <w:tcW w:type="dxa" w:w="1900"/>
            <w:shd w:fill="FFFFFF" w:val="clear"/>
            <w:tcMar>
              <w:top w:type="dxa" w:w="60"/>
              <w:left w:type="dxa" w:w="120"/>
              <w:bottom w:type="dxa" w:w="60"/>
              <w:right w:type="dxa" w:w="120"/>
            </w:tcMar>
          </w:tcPr>
          <w:p>
            <w:r>
              <w:rPr>
                <w:rFonts w:ascii="Calibri" w:eastAsia="Microsoft YaHei"/>
                <w:color w:val="1A2B40"/>
                <w:sz w:val="19"/>
                <w:szCs w:val="19"/>
              </w:rPr>
              <w:t xml:space="preserve">Identity &amp; audit</w:t>
            </w:r>
          </w:p>
        </w:tc>
        <w:tc>
          <w:tcPr>
            <w:tcW w:type="dxa" w:w="4200"/>
            <w:shd w:fill="FFFFFF" w:val="clear"/>
            <w:tcMar>
              <w:top w:type="dxa" w:w="60"/>
              <w:left w:type="dxa" w:w="120"/>
              <w:bottom w:type="dxa" w:w="60"/>
              <w:right w:type="dxa" w:w="120"/>
            </w:tcMar>
          </w:tcPr>
          <w:p>
            <w:r>
              <w:rPr>
                <w:rFonts w:ascii="Calibri" w:eastAsia="Microsoft YaHei"/>
                <w:color w:val="1A2B40"/>
                <w:sz w:val="19"/>
                <w:szCs w:val="19"/>
              </w:rPr>
              <w:t xml:space="preserve">user, session, account, two_factor, verification, audit_log</w:t>
            </w:r>
          </w:p>
        </w:tc>
        <w:tc>
          <w:tcPr>
            <w:tcW w:type="dxa" w:w="3000"/>
            <w:shd w:fill="FFFFFF" w:val="clear"/>
            <w:tcMar>
              <w:top w:type="dxa" w:w="60"/>
              <w:left w:type="dxa" w:w="120"/>
              <w:bottom w:type="dxa" w:w="60"/>
              <w:right w:type="dxa" w:w="120"/>
            </w:tcMar>
          </w:tcPr>
          <w:p>
            <w:r>
              <w:rPr>
                <w:rFonts w:ascii="Calibri" w:eastAsia="Microsoft YaHei"/>
                <w:color w:val="1A2B40"/>
                <w:sz w:val="19"/>
                <w:szCs w:val="19"/>
              </w:rPr>
              <w:t xml:space="preserve">Better Auth tables plus MFA and the 12-month audit trail</w:t>
            </w:r>
          </w:p>
        </w:tc>
      </w:tr>
      <w:tr>
        <w:trPr>
          <w:cantSplit/>
        </w:trPr>
        <w:tc>
          <w:tcPr>
            <w:tcW w:type="dxa" w:w="1900"/>
            <w:shd w:fill="F4F8FC" w:val="clear"/>
            <w:tcMar>
              <w:top w:type="dxa" w:w="60"/>
              <w:left w:type="dxa" w:w="120"/>
              <w:bottom w:type="dxa" w:w="60"/>
              <w:right w:type="dxa" w:w="120"/>
            </w:tcMar>
          </w:tcPr>
          <w:p>
            <w:r>
              <w:rPr>
                <w:rFonts w:ascii="Calibri" w:eastAsia="Microsoft YaHei"/>
                <w:color w:val="1A2B40"/>
                <w:sz w:val="19"/>
                <w:szCs w:val="19"/>
              </w:rPr>
              <w:t xml:space="preserve">Content</w:t>
            </w:r>
          </w:p>
        </w:tc>
        <w:tc>
          <w:tcPr>
            <w:tcW w:type="dxa" w:w="4200"/>
            <w:shd w:fill="F4F8FC" w:val="clear"/>
            <w:tcMar>
              <w:top w:type="dxa" w:w="60"/>
              <w:left w:type="dxa" w:w="120"/>
              <w:bottom w:type="dxa" w:w="60"/>
              <w:right w:type="dxa" w:w="120"/>
            </w:tcMar>
          </w:tcPr>
          <w:p>
            <w:r>
              <w:rPr>
                <w:rFonts w:ascii="Calibri" w:eastAsia="Microsoft YaHei"/>
                <w:color w:val="1A2B40"/>
                <w:sz w:val="19"/>
                <w:szCs w:val="19"/>
              </w:rPr>
              <w:t xml:space="preserve">article, news_post, page, faq, content_revision, content_comment</w:t>
            </w:r>
          </w:p>
        </w:tc>
        <w:tc>
          <w:tcPr>
            <w:tcW w:type="dxa" w:w="3000"/>
            <w:shd w:fill="F4F8FC" w:val="clear"/>
            <w:tcMar>
              <w:top w:type="dxa" w:w="60"/>
              <w:left w:type="dxa" w:w="120"/>
              <w:bottom w:type="dxa" w:w="60"/>
              <w:right w:type="dxa" w:w="120"/>
            </w:tcMar>
          </w:tcPr>
          <w:p>
            <w:r>
              <w:rPr>
                <w:rFonts w:ascii="Calibri" w:eastAsia="Microsoft YaHei"/>
                <w:color w:val="1A2B40"/>
                <w:sz w:val="19"/>
                <w:szCs w:val="19"/>
              </w:rPr>
              <w:t xml:space="preserve">CMS entities with 5-state workflow, revision snapshots and review comments</w:t>
            </w:r>
          </w:p>
        </w:tc>
      </w:tr>
      <w:tr>
        <w:trPr>
          <w:cantSplit/>
        </w:trPr>
        <w:tc>
          <w:tcPr>
            <w:tcW w:type="dxa" w:w="1900"/>
            <w:shd w:fill="FFFFFF" w:val="clear"/>
            <w:tcMar>
              <w:top w:type="dxa" w:w="60"/>
              <w:left w:type="dxa" w:w="120"/>
              <w:bottom w:type="dxa" w:w="60"/>
              <w:right w:type="dxa" w:w="120"/>
            </w:tcMar>
          </w:tcPr>
          <w:p>
            <w:r>
              <w:rPr>
                <w:rFonts w:ascii="Calibri" w:eastAsia="Microsoft YaHei"/>
                <w:color w:val="1A2B40"/>
                <w:sz w:val="19"/>
                <w:szCs w:val="19"/>
              </w:rPr>
              <w:t xml:space="preserve">Catalog</w:t>
            </w:r>
          </w:p>
        </w:tc>
        <w:tc>
          <w:tcPr>
            <w:tcW w:type="dxa" w:w="4200"/>
            <w:shd w:fill="FFFFFF" w:val="clear"/>
            <w:tcMar>
              <w:top w:type="dxa" w:w="60"/>
              <w:left w:type="dxa" w:w="120"/>
              <w:bottom w:type="dxa" w:w="60"/>
              <w:right w:type="dxa" w:w="120"/>
            </w:tcMar>
          </w:tcPr>
          <w:p>
            <w:r>
              <w:rPr>
                <w:rFonts w:ascii="Calibri" w:eastAsia="Microsoft YaHei"/>
                <w:color w:val="1A2B40"/>
                <w:sz w:val="19"/>
                <w:szCs w:val="19"/>
              </w:rPr>
              <w:t xml:space="preserve">brand, category, product, product_variant, compatibility_rule</w:t>
            </w:r>
          </w:p>
        </w:tc>
        <w:tc>
          <w:tcPr>
            <w:tcW w:type="dxa" w:w="3000"/>
            <w:shd w:fill="FFFFFF" w:val="clear"/>
            <w:tcMar>
              <w:top w:type="dxa" w:w="60"/>
              <w:left w:type="dxa" w:w="120"/>
              <w:bottom w:type="dxa" w:w="60"/>
              <w:right w:type="dxa" w:w="120"/>
            </w:tcMar>
          </w:tcPr>
          <w:p>
            <w:r>
              <w:rPr>
                <w:rFonts w:ascii="Calibri" w:eastAsia="Microsoft YaHei"/>
                <w:color w:val="1A2B40"/>
                <w:sz w:val="19"/>
                <w:szCs w:val="19"/>
              </w:rPr>
              <w:t xml:space="preserve">Products with pricing, warranty, facets; QVL matrix</w:t>
            </w:r>
          </w:p>
        </w:tc>
      </w:tr>
      <w:tr>
        <w:trPr>
          <w:cantSplit/>
        </w:trPr>
        <w:tc>
          <w:tcPr>
            <w:tcW w:type="dxa" w:w="1900"/>
            <w:shd w:fill="F4F8FC" w:val="clear"/>
            <w:tcMar>
              <w:top w:type="dxa" w:w="60"/>
              <w:left w:type="dxa" w:w="120"/>
              <w:bottom w:type="dxa" w:w="60"/>
              <w:right w:type="dxa" w:w="120"/>
            </w:tcMar>
          </w:tcPr>
          <w:p>
            <w:r>
              <w:rPr>
                <w:rFonts w:ascii="Calibri" w:eastAsia="Microsoft YaHei"/>
                <w:color w:val="1A2B40"/>
                <w:sz w:val="19"/>
                <w:szCs w:val="19"/>
              </w:rPr>
              <w:t xml:space="preserve">Channel</w:t>
            </w:r>
          </w:p>
        </w:tc>
        <w:tc>
          <w:tcPr>
            <w:tcW w:type="dxa" w:w="4200"/>
            <w:shd w:fill="F4F8FC" w:val="clear"/>
            <w:tcMar>
              <w:top w:type="dxa" w:w="60"/>
              <w:left w:type="dxa" w:w="120"/>
              <w:bottom w:type="dxa" w:w="60"/>
              <w:right w:type="dxa" w:w="120"/>
            </w:tcMar>
          </w:tcPr>
          <w:p>
            <w:r>
              <w:rPr>
                <w:rFonts w:ascii="Calibri" w:eastAsia="Microsoft YaHei"/>
                <w:color w:val="1A2B40"/>
                <w:sz w:val="19"/>
                <w:szCs w:val="19"/>
              </w:rPr>
              <w:t xml:space="preserve">distributor, marketplace_listing, partner_org, partner_member, partner_asset</w:t>
            </w:r>
          </w:p>
        </w:tc>
        <w:tc>
          <w:tcPr>
            <w:tcW w:type="dxa" w:w="3000"/>
            <w:shd w:fill="F4F8FC" w:val="clear"/>
            <w:tcMar>
              <w:top w:type="dxa" w:w="60"/>
              <w:left w:type="dxa" w:w="120"/>
              <w:bottom w:type="dxa" w:w="60"/>
              <w:right w:type="dxa" w:w="120"/>
            </w:tcMar>
          </w:tcPr>
          <w:p>
            <w:r>
              <w:rPr>
                <w:rFonts w:ascii="Calibri" w:eastAsia="Microsoft YaHei"/>
                <w:color w:val="1A2B40"/>
                <w:sz w:val="19"/>
                <w:szCs w:val="19"/>
              </w:rPr>
              <w:t xml:space="preserve">Where-to-Buy directory + gated partner portal</w:t>
            </w:r>
          </w:p>
        </w:tc>
      </w:tr>
      <w:tr>
        <w:trPr>
          <w:cantSplit/>
        </w:trPr>
        <w:tc>
          <w:tcPr>
            <w:tcW w:type="dxa" w:w="1900"/>
            <w:shd w:fill="FFFFFF" w:val="clear"/>
            <w:tcMar>
              <w:top w:type="dxa" w:w="60"/>
              <w:left w:type="dxa" w:w="120"/>
              <w:bottom w:type="dxa" w:w="60"/>
              <w:right w:type="dxa" w:w="120"/>
            </w:tcMar>
          </w:tcPr>
          <w:p>
            <w:r>
              <w:rPr>
                <w:rFonts w:ascii="Calibri" w:eastAsia="Microsoft YaHei"/>
                <w:color w:val="1A2B40"/>
                <w:sz w:val="19"/>
                <w:szCs w:val="19"/>
              </w:rPr>
              <w:t xml:space="preserve">Support</w:t>
            </w:r>
          </w:p>
        </w:tc>
        <w:tc>
          <w:tcPr>
            <w:tcW w:type="dxa" w:w="4200"/>
            <w:shd w:fill="FFFFFF" w:val="clear"/>
            <w:tcMar>
              <w:top w:type="dxa" w:w="60"/>
              <w:left w:type="dxa" w:w="120"/>
              <w:bottom w:type="dxa" w:w="60"/>
              <w:right w:type="dxa" w:w="120"/>
            </w:tcMar>
          </w:tcPr>
          <w:p>
            <w:r>
              <w:rPr>
                <w:rFonts w:ascii="Calibri" w:eastAsia="Microsoft YaHei"/>
                <w:color w:val="1A2B40"/>
                <w:sz w:val="19"/>
                <w:szCs w:val="19"/>
              </w:rPr>
              <w:t xml:space="preserve">form_submission, form_note, rma_request, rma_event</w:t>
            </w:r>
          </w:p>
        </w:tc>
        <w:tc>
          <w:tcPr>
            <w:tcW w:type="dxa" w:w="3000"/>
            <w:shd w:fill="FFFFFF" w:val="clear"/>
            <w:tcMar>
              <w:top w:type="dxa" w:w="60"/>
              <w:left w:type="dxa" w:w="120"/>
              <w:bottom w:type="dxa" w:w="60"/>
              <w:right w:type="dxa" w:w="120"/>
            </w:tcMar>
          </w:tcPr>
          <w:p>
            <w:r>
              <w:rPr>
                <w:rFonts w:ascii="Calibri" w:eastAsia="Microsoft YaHei"/>
                <w:color w:val="1A2B40"/>
                <w:sz w:val="19"/>
                <w:szCs w:val="19"/>
              </w:rPr>
              <w:t xml:space="preserve">15 lead types with SLA; 7-state RMA pipeline with event log</w:t>
            </w:r>
          </w:p>
        </w:tc>
      </w:tr>
      <w:tr>
        <w:trPr>
          <w:cantSplit/>
        </w:trPr>
        <w:tc>
          <w:tcPr>
            <w:tcW w:type="dxa" w:w="1900"/>
            <w:shd w:fill="F4F8FC" w:val="clear"/>
            <w:tcMar>
              <w:top w:type="dxa" w:w="60"/>
              <w:left w:type="dxa" w:w="120"/>
              <w:bottom w:type="dxa" w:w="60"/>
              <w:right w:type="dxa" w:w="120"/>
            </w:tcMar>
          </w:tcPr>
          <w:p>
            <w:r>
              <w:rPr>
                <w:rFonts w:ascii="Calibri" w:eastAsia="Microsoft YaHei"/>
                <w:color w:val="1A2B40"/>
                <w:sz w:val="19"/>
                <w:szCs w:val="19"/>
              </w:rPr>
              <w:t xml:space="preserve">Brand protection</w:t>
            </w:r>
          </w:p>
        </w:tc>
        <w:tc>
          <w:tcPr>
            <w:tcW w:type="dxa" w:w="4200"/>
            <w:shd w:fill="F4F8FC" w:val="clear"/>
            <w:tcMar>
              <w:top w:type="dxa" w:w="60"/>
              <w:left w:type="dxa" w:w="120"/>
              <w:bottom w:type="dxa" w:w="60"/>
              <w:right w:type="dxa" w:w="120"/>
            </w:tcMar>
          </w:tcPr>
          <w:p>
            <w:r>
              <w:rPr>
                <w:rFonts w:ascii="Calibri" w:eastAsia="Microsoft YaHei"/>
                <w:color w:val="1A2B40"/>
                <w:sz w:val="19"/>
                <w:szCs w:val="19"/>
              </w:rPr>
              <w:t xml:space="preserve">serial_registry, sn_check</w:t>
            </w:r>
          </w:p>
        </w:tc>
        <w:tc>
          <w:tcPr>
            <w:tcW w:type="dxa" w:w="3000"/>
            <w:shd w:fill="F4F8FC" w:val="clear"/>
            <w:tcMar>
              <w:top w:type="dxa" w:w="60"/>
              <w:left w:type="dxa" w:w="120"/>
              <w:bottom w:type="dxa" w:w="60"/>
              <w:right w:type="dxa" w:w="120"/>
            </w:tcMar>
          </w:tcPr>
          <w:p>
            <w:r>
              <w:rPr>
                <w:rFonts w:ascii="Calibri" w:eastAsia="Microsoft YaHei"/>
                <w:color w:val="1A2B40"/>
                <w:sz w:val="19"/>
                <w:szCs w:val="19"/>
              </w:rPr>
              <w:t xml:space="preserve">Factory serials + public verification log for anomaly scans</w:t>
            </w:r>
          </w:p>
        </w:tc>
      </w:tr>
      <w:tr>
        <w:trPr>
          <w:cantSplit/>
        </w:trPr>
        <w:tc>
          <w:tcPr>
            <w:tcW w:type="dxa" w:w="1900"/>
            <w:shd w:fill="FFFFFF" w:val="clear"/>
            <w:tcMar>
              <w:top w:type="dxa" w:w="60"/>
              <w:left w:type="dxa" w:w="120"/>
              <w:bottom w:type="dxa" w:w="60"/>
              <w:right w:type="dxa" w:w="120"/>
            </w:tcMar>
          </w:tcPr>
          <w:p>
            <w:r>
              <w:rPr>
                <w:rFonts w:ascii="Calibri" w:eastAsia="Microsoft YaHei"/>
                <w:color w:val="1A2B40"/>
                <w:sz w:val="19"/>
                <w:szCs w:val="19"/>
              </w:rPr>
              <w:t xml:space="preserve">Careers &amp; i18n</w:t>
            </w:r>
          </w:p>
        </w:tc>
        <w:tc>
          <w:tcPr>
            <w:tcW w:type="dxa" w:w="4200"/>
            <w:shd w:fill="FFFFFF" w:val="clear"/>
            <w:tcMar>
              <w:top w:type="dxa" w:w="60"/>
              <w:left w:type="dxa" w:w="120"/>
              <w:bottom w:type="dxa" w:w="60"/>
              <w:right w:type="dxa" w:w="120"/>
            </w:tcMar>
          </w:tcPr>
          <w:p>
            <w:r>
              <w:rPr>
                <w:rFonts w:ascii="Calibri" w:eastAsia="Microsoft YaHei"/>
                <w:color w:val="1A2B40"/>
                <w:sz w:val="19"/>
                <w:szCs w:val="19"/>
              </w:rPr>
              <w:t xml:space="preserve">job_posting, job_application, locale, translation</w:t>
            </w:r>
          </w:p>
        </w:tc>
        <w:tc>
          <w:tcPr>
            <w:tcW w:type="dxa" w:w="3000"/>
            <w:shd w:fill="FFFFFF" w:val="clear"/>
            <w:tcMar>
              <w:top w:type="dxa" w:w="60"/>
              <w:left w:type="dxa" w:w="120"/>
              <w:bottom w:type="dxa" w:w="60"/>
              <w:right w:type="dxa" w:w="120"/>
            </w:tcMar>
          </w:tcPr>
          <w:p>
            <w:r>
              <w:rPr>
                <w:rFonts w:ascii="Calibri" w:eastAsia="Microsoft YaHei"/>
                <w:color w:val="1A2B40"/>
                <w:sz w:val="19"/>
                <w:szCs w:val="19"/>
              </w:rPr>
              <w:t xml:space="preserve">Openings/applications; 9-locale string workflow</w:t>
            </w:r>
          </w:p>
        </w:tc>
      </w:tr>
      <w:tr>
        <w:trPr>
          <w:cantSplit/>
        </w:trPr>
        <w:tc>
          <w:tcPr>
            <w:tcW w:type="dxa" w:w="1900"/>
            <w:shd w:fill="F4F8FC" w:val="clear"/>
            <w:tcMar>
              <w:top w:type="dxa" w:w="60"/>
              <w:left w:type="dxa" w:w="120"/>
              <w:bottom w:type="dxa" w:w="60"/>
              <w:right w:type="dxa" w:w="120"/>
            </w:tcMar>
          </w:tcPr>
          <w:p>
            <w:r>
              <w:rPr>
                <w:rFonts w:ascii="Calibri" w:eastAsia="Microsoft YaHei"/>
                <w:color w:val="1A2B40"/>
                <w:sz w:val="19"/>
                <w:szCs w:val="19"/>
              </w:rPr>
              <w:t xml:space="preserve">Media &amp; settings</w:t>
            </w:r>
          </w:p>
        </w:tc>
        <w:tc>
          <w:tcPr>
            <w:tcW w:type="dxa" w:w="4200"/>
            <w:shd w:fill="F4F8FC" w:val="clear"/>
            <w:tcMar>
              <w:top w:type="dxa" w:w="60"/>
              <w:left w:type="dxa" w:w="120"/>
              <w:bottom w:type="dxa" w:w="60"/>
              <w:right w:type="dxa" w:w="120"/>
            </w:tcMar>
          </w:tcPr>
          <w:p>
            <w:r>
              <w:rPr>
                <w:rFonts w:ascii="Calibri" w:eastAsia="Microsoft YaHei"/>
                <w:color w:val="1A2B40"/>
                <w:sz w:val="19"/>
                <w:szCs w:val="19"/>
              </w:rPr>
              <w:t xml:space="preserve">media_asset, media_folder, setting, redirect</w:t>
            </w:r>
          </w:p>
        </w:tc>
        <w:tc>
          <w:tcPr>
            <w:tcW w:type="dxa" w:w="3000"/>
            <w:shd w:fill="F4F8FC" w:val="clear"/>
            <w:tcMar>
              <w:top w:type="dxa" w:w="60"/>
              <w:left w:type="dxa" w:w="120"/>
              <w:bottom w:type="dxa" w:w="60"/>
              <w:right w:type="dxa" w:w="120"/>
            </w:tcMar>
          </w:tcPr>
          <w:p>
            <w:r>
              <w:rPr>
                <w:rFonts w:ascii="Calibri" w:eastAsia="Microsoft YaHei"/>
                <w:color w:val="1A2B40"/>
                <w:sz w:val="19"/>
                <w:szCs w:val="19"/>
              </w:rPr>
              <w:t xml:space="preserve">DAM with responsive variants; site settings and redirects</w:t>
            </w:r>
          </w:p>
        </w:tc>
      </w:tr>
    </w:tbl>
    <w:p>
      <w:pPr>
        <w:spacing w:after="120"/>
      </w:pPr>
    </w:p>
    <w:p>
      <w:pPr>
        <w:pStyle w:val="Heading2"/>
        <w:spacing w:after="120" w:before="300"/>
      </w:pPr>
      <w:bookmarkStart w:id="100023" w:name="_Toc100023"/>
      <w:r>
        <w:rPr>
          <w:rFonts w:ascii="Calibri" w:eastAsia="SimHei"/>
          <w:b/>
          <w:bCs/>
          <w:color w:val="0A1628"/>
          <w:sz w:val="28"/>
          <w:szCs w:val="28"/>
        </w:rPr>
        <w:t xml:space="preserve">4.4 Security Model</w:t>
      </w:r>
      <w:bookmarkEnd w:id="100023"/>
    </w:p>
    <w:p>
      <w:pPr>
        <w:pStyle w:val="ListParagraph"/>
        <w:numPr>
          <w:ilvl w:val="0"/>
          <w:numId w:val="6"/>
        </w:numPr>
        <w:spacing w:after="60" w:line="312"/>
      </w:pPr>
      <w:r>
        <w:rPr>
          <w:rFonts w:ascii="Calibri" w:eastAsia="Microsoft YaHei"/>
          <w:b/>
          <w:bCs/>
          <w:color w:val="0A1628"/>
          <w:sz w:val="22"/>
          <w:szCs w:val="22"/>
        </w:rPr>
        <w:t xml:space="preserve">Authentication</w:t>
      </w:r>
      <w:r>
        <w:rPr>
          <w:rFonts w:ascii="Calibri" w:eastAsia="Microsoft YaHei"/>
          <w:color w:val="1A2B40"/>
          <w:sz w:val="22"/>
          <w:szCs w:val="22"/>
        </w:rPr>
        <w:t xml:space="preserve"> — Better Auth email/password with server-enforced 10-character minimum (dev seed may use shorter throwaway passwords via the offline setter script). TOTP two-factor with QR enrollment, 10 backup codes, and lockout-aware verification. Sessions are 8 hours, refreshed every 30 minutes.</w:t>
      </w:r>
    </w:p>
    <w:p>
      <w:pPr>
        <w:pStyle w:val="ListParagraph"/>
        <w:numPr>
          <w:ilvl w:val="0"/>
          <w:numId w:val="6"/>
        </w:numPr>
        <w:spacing w:after="60" w:line="312"/>
      </w:pPr>
      <w:r>
        <w:rPr>
          <w:rFonts w:ascii="Calibri" w:eastAsia="Microsoft YaHei"/>
          <w:b/>
          <w:bCs/>
          <w:color w:val="0A1628"/>
          <w:sz w:val="22"/>
          <w:szCs w:val="22"/>
        </w:rPr>
        <w:t xml:space="preserve">Authorization</w:t>
      </w:r>
      <w:r>
        <w:rPr>
          <w:rFonts w:ascii="Calibri" w:eastAsia="Microsoft YaHei"/>
          <w:color w:val="1A2B40"/>
          <w:sz w:val="22"/>
          <w:szCs w:val="22"/>
        </w:rPr>
        <w:t xml:space="preserve"> — five roles (super_admin, admin, editor, author, viewer) enforced server-side on every route; the admin sidebar filters modules by role. Governance invariants (at least one active super_admin) are protected against concurrent demotion/ban races.</w:t>
      </w:r>
    </w:p>
    <w:p>
      <w:pPr>
        <w:pStyle w:val="ListParagraph"/>
        <w:numPr>
          <w:ilvl w:val="0"/>
          <w:numId w:val="6"/>
        </w:numPr>
        <w:spacing w:after="60" w:line="312"/>
      </w:pPr>
      <w:r>
        <w:rPr>
          <w:rFonts w:ascii="Calibri" w:eastAsia="Microsoft YaHei"/>
          <w:b/>
          <w:bCs/>
          <w:color w:val="0A1628"/>
          <w:sz w:val="22"/>
          <w:szCs w:val="22"/>
        </w:rPr>
        <w:t xml:space="preserve">Audit trail</w:t>
      </w:r>
      <w:r>
        <w:rPr>
          <w:rFonts w:ascii="Calibri" w:eastAsia="Microsoft YaHei"/>
          <w:color w:val="1A2B40"/>
          <w:sz w:val="22"/>
          <w:szCs w:val="22"/>
        </w:rPr>
        <w:t xml:space="preserve"> — every mutation writes an audit_log row (actor, action, entity, diff, request id, IP) with 12-month retention; the Audit Log module provides filterable review.</w:t>
      </w:r>
    </w:p>
    <w:p>
      <w:pPr>
        <w:pStyle w:val="ListParagraph"/>
        <w:numPr>
          <w:ilvl w:val="0"/>
          <w:numId w:val="6"/>
        </w:numPr>
        <w:spacing w:after="60" w:line="312"/>
      </w:pPr>
      <w:r>
        <w:rPr>
          <w:rFonts w:ascii="Calibri" w:eastAsia="Microsoft YaHei"/>
          <w:b/>
          <w:bCs/>
          <w:color w:val="0A1628"/>
          <w:sz w:val="22"/>
          <w:szCs w:val="22"/>
        </w:rPr>
        <w:t xml:space="preserve">Input validation</w:t>
      </w:r>
      <w:r>
        <w:rPr>
          <w:rFonts w:ascii="Calibri" w:eastAsia="Microsoft YaHei"/>
          <w:color w:val="1A2B40"/>
          <w:sz w:val="22"/>
          <w:szCs w:val="22"/>
        </w:rPr>
        <w:t xml:space="preserve"> — Zod schemas on every write; RFC 9457 problem+json error envelopes; upload allow-lists with magic-byte sniffing and SVG active-content rejection.</w:t>
      </w:r>
    </w:p>
    <w:p>
      <w:pPr>
        <w:pStyle w:val="ListParagraph"/>
        <w:numPr>
          <w:ilvl w:val="0"/>
          <w:numId w:val="6"/>
        </w:numPr>
        <w:spacing w:after="60" w:line="312"/>
      </w:pPr>
      <w:r>
        <w:rPr>
          <w:rFonts w:ascii="Calibri" w:eastAsia="Microsoft YaHei"/>
          <w:b/>
          <w:bCs/>
          <w:color w:val="0A1628"/>
          <w:sz w:val="22"/>
          <w:szCs w:val="22"/>
        </w:rPr>
        <w:t xml:space="preserve">Rate limiting &amp; anti-spam</w:t>
      </w:r>
      <w:r>
        <w:rPr>
          <w:rFonts w:ascii="Calibri" w:eastAsia="Microsoft YaHei"/>
          <w:color w:val="1A2B40"/>
          <w:sz w:val="22"/>
          <w:szCs w:val="22"/>
        </w:rPr>
        <w:t xml:space="preserve"> — per-IP buckets on public endpoints (10 SN-checks/minute), Turnstile on public forms (bypass flag exists for dev only and is hard-refused in production), and TRUST_PROXY handling for Cloudflare client IPs.</w:t>
      </w:r>
    </w:p>
    <w:p>
      <w:pPr>
        <w:pStyle w:val="ListParagraph"/>
        <w:numPr>
          <w:ilvl w:val="0"/>
          <w:numId w:val="6"/>
        </w:numPr>
        <w:spacing w:after="60" w:line="312"/>
      </w:pPr>
      <w:r>
        <w:rPr>
          <w:rFonts w:ascii="Calibri" w:eastAsia="Microsoft YaHei"/>
          <w:b/>
          <w:bCs/>
          <w:color w:val="0A1628"/>
          <w:sz w:val="22"/>
          <w:szCs w:val="22"/>
        </w:rPr>
        <w:t xml:space="preserve">Transport &amp; headers</w:t>
      </w:r>
      <w:r>
        <w:rPr>
          <w:rFonts w:ascii="Calibri" w:eastAsia="Microsoft YaHei"/>
          <w:color w:val="1A2B40"/>
          <w:sz w:val="22"/>
          <w:szCs w:val="22"/>
        </w:rPr>
        <w:t xml:space="preserve"> — TLS via Cloudflare (full-strict), CSP allowing only challenges.cloudflare.com externally, HSTS, X-Frame-Options DENY, nosniff, referrer and permissions policies set at nginx.</w:t>
      </w:r>
    </w:p>
    <w:p>
      <w:pPr>
        <w:pStyle w:val="Heading1"/>
        <w:spacing w:after="160" w:before="400"/>
      </w:pPr>
      <w:bookmarkStart w:id="100024" w:name="_Toc100024"/>
      <w:r>
        <w:rPr>
          <w:rFonts w:ascii="Calibri" w:eastAsia="SimHei"/>
          <w:b/>
          <w:bCs/>
          <w:color w:val="0A1628"/>
          <w:sz w:val="34"/>
          <w:szCs w:val="34"/>
        </w:rPr>
        <w:t xml:space="preserve">5. Admin Console — CMS Management Guide</w:t>
      </w:r>
      <w:bookmarkEnd w:id="100024"/>
    </w:p>
    <w:p>
      <w:pPr>
        <w:spacing w:after="120" w:line="312"/>
        <w:jc w:val="both"/>
      </w:pPr>
      <w:r>
        <w:rPr>
          <w:rFonts w:ascii="Calibri" w:eastAsia="Microsoft YaHei"/>
          <w:color w:val="1A2B40"/>
          <w:sz w:val="22"/>
          <w:szCs w:val="22"/>
        </w:rPr>
        <w:t xml:space="preserve">This section walks every module of the admin console. The console is reached at /admin on the production domain (http://localhost:5173/ in development) and requires a staff account. Sign-in offers optional TOTP two-factor; staff without MFA receive a skippable enrollment prompt. The workspace uses a grouped sidebar, a mega-menu (Modules button), multi-tab editing and a Ctrl/Cmd+K global search palette that queries leads, products, content, RMA and media at once.</w:t>
      </w:r>
    </w:p>
    <w:p>
      <w:pPr>
        <w:keepNext/>
        <w:spacing w:after="60" w:before="160"/>
        <w:jc w:val="center"/>
      </w:pPr>
      <w:r>
        <w:drawing>
          <wp:inline distT="0" distB="0" distL="0" distR="0">
            <wp:extent cx="5457825" cy="30765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57825" cy="3076575"/>
                    </a:xfrm>
                    <a:prstGeom prst="rect">
                      <a:avLst/>
                    </a:prstGeom>
                  </pic:spPr>
                </pic:pic>
              </a:graphicData>
            </a:graphic>
          </wp:inline>
        </w:drawing>
      </w:r>
    </w:p>
    <w:p>
      <w:pPr>
        <w:pBdr>
          <w:top w:val="single" w:color="D5DDE7" w:sz="2" w:space="4"/>
        </w:pBdr>
        <w:spacing w:after="200"/>
        <w:jc w:val="center"/>
      </w:pPr>
      <w:r>
        <w:rPr>
          <w:rFonts w:ascii="Calibri" w:eastAsia="Microsoft YaHei"/>
          <w:i/>
          <w:iCs/>
          <w:color w:val="6878A0"/>
          <w:sz w:val="18"/>
          <w:szCs w:val="18"/>
        </w:rPr>
        <w:t xml:space="preserve">Exhibit 9. Admin console sign-in (split-screen brand rail, TOTP-aware)</w:t>
      </w:r>
    </w:p>
    <w:tbl>
      <w:tblPr>
        <w:tblW w:type="pct" w:w="5000"/>
        <w:tblBorders>
          <w:top w:val="none" w:color="FFFFFF" w:sz="0"/>
          <w:left w:val="single" w:color="0E9F7E" w:sz="16"/>
          <w:bottom w:val="none" w:color="FFFFFF" w:sz="0"/>
          <w:right w:val="none" w:color="FFFFFF" w:sz="0"/>
          <w:insideH w:val="single" w:color="auto" w:sz="4"/>
          <w:insideV w:val="single" w:color="auto" w:sz="4"/>
        </w:tblBorders>
        <w:tblLayout w:type="fixed"/>
      </w:tblPr>
      <w:tblGrid>
        <w:gridCol w:w="8788"/>
      </w:tblGrid>
      <w:tr>
        <w:tc>
          <w:tcPr>
            <w:shd w:fill="EDFAF6" w:val="clear"/>
            <w:tcMar>
              <w:top w:type="dxa" w:w="100"/>
              <w:left w:type="dxa" w:w="200"/>
              <w:bottom w:type="dxa" w:w="100"/>
              <w:right w:type="dxa" w:w="160"/>
            </w:tcMar>
          </w:tcPr>
          <w:p>
            <w:pPr>
              <w:spacing w:line="300"/>
            </w:pPr>
            <w:r>
              <w:rPr>
                <w:rFonts w:ascii="Calibri" w:eastAsia="Microsoft YaHei"/>
                <w:b/>
                <w:bCs/>
                <w:color w:val="0E9F7E"/>
                <w:sz w:val="20"/>
                <w:szCs w:val="20"/>
              </w:rPr>
              <w:t xml:space="preserve">NOTE — </w:t>
            </w:r>
            <w:r>
              <w:rPr>
                <w:rFonts w:ascii="Calibri" w:eastAsia="Microsoft YaHei"/>
                <w:color w:val="1A2B40"/>
                <w:sz w:val="20"/>
                <w:szCs w:val="20"/>
              </w:rPr>
              <w:t xml:space="preserve">Roles gate everything: viewers read; authors write content drafts; editors publish and manage channel data; admins manage orgs; super_admins manage users, locales and governance. Buttons for actions your role lacks are hidden or disabled server-side as well as in the UI.</w:t>
            </w:r>
          </w:p>
        </w:tc>
      </w:tr>
    </w:tbl>
    <w:p>
      <w:pPr>
        <w:pStyle w:val="Heading2"/>
        <w:spacing w:after="120" w:before="300"/>
      </w:pPr>
      <w:bookmarkStart w:id="100025" w:name="_Toc100025"/>
      <w:r>
        <w:rPr>
          <w:rFonts w:ascii="Calibri" w:eastAsia="SimHei"/>
          <w:b/>
          <w:bCs/>
          <w:color w:val="0A1628"/>
          <w:sz w:val="28"/>
          <w:szCs w:val="28"/>
        </w:rPr>
        <w:t xml:space="preserve">5.1 Dashboard</w:t>
      </w:r>
      <w:bookmarkEnd w:id="100025"/>
    </w:p>
    <w:p>
      <w:pPr>
        <w:keepNext/>
        <w:spacing w:after="60" w:before="160"/>
        <w:jc w:val="center"/>
      </w:pPr>
      <w:r>
        <w:drawing>
          <wp:inline distT="0" distB="0" distL="0" distR="0">
            <wp:extent cx="5457825" cy="30765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57825" cy="3076575"/>
                    </a:xfrm>
                    <a:prstGeom prst="rect">
                      <a:avLst/>
                    </a:prstGeom>
                  </pic:spPr>
                </pic:pic>
              </a:graphicData>
            </a:graphic>
          </wp:inline>
        </w:drawing>
      </w:r>
    </w:p>
    <w:p>
      <w:pPr>
        <w:pBdr>
          <w:top w:val="single" w:color="D5DDE7" w:sz="2" w:space="4"/>
        </w:pBdr>
        <w:spacing w:after="200"/>
        <w:jc w:val="center"/>
      </w:pPr>
      <w:r>
        <w:rPr>
          <w:rFonts w:ascii="Calibri" w:eastAsia="Microsoft YaHei"/>
          <w:i/>
          <w:iCs/>
          <w:color w:val="6878A0"/>
          <w:sz w:val="18"/>
          <w:szCs w:val="18"/>
        </w:rPr>
        <w:t xml:space="preserve">Exhibit 10. Dashboard — KPI strip, 14-day trends, SLA risk queue and activity feed</w:t>
      </w:r>
    </w:p>
    <w:p>
      <w:pPr>
        <w:spacing w:after="120" w:line="312"/>
        <w:jc w:val="both"/>
      </w:pPr>
      <w:r>
        <w:rPr>
          <w:rFonts w:ascii="Calibri" w:eastAsia="Microsoft YaHei"/>
          <w:color w:val="1A2B40"/>
          <w:sz w:val="22"/>
          <w:szCs w:val="22"/>
        </w:rPr>
        <w:t xml:space="preserve">The dashboard is the morning cockpit: live counts of new leads, overdue SLA, open RMAs, published content, catalog size and applications; a 14-day leads-and-RMA chart; lead status mix and by-type split; an SLA risk queue (oldest due first — click any row to open the lead); media alt-text compliance; and the latest audited mutations. Four quick actions jump straight into common tasks (New article, Add product, Review leads, Media library).</w:t>
      </w:r>
    </w:p>
    <w:p>
      <w:pPr>
        <w:pStyle w:val="Heading2"/>
        <w:spacing w:after="120" w:before="300"/>
      </w:pPr>
      <w:bookmarkStart w:id="100026" w:name="_Toc100026"/>
      <w:r>
        <w:rPr>
          <w:rFonts w:ascii="Calibri" w:eastAsia="SimHei"/>
          <w:b/>
          <w:bCs/>
          <w:color w:val="0A1628"/>
          <w:sz w:val="28"/>
          <w:szCs w:val="28"/>
        </w:rPr>
        <w:t xml:space="preserve">5.2 Content Studio (Articles, News, Pages, FAQ)</w:t>
      </w:r>
      <w:bookmarkEnd w:id="100026"/>
    </w:p>
    <w:p>
      <w:pPr>
        <w:keepNext/>
        <w:spacing w:after="60" w:before="160"/>
        <w:jc w:val="center"/>
      </w:pPr>
      <w:r>
        <w:drawing>
          <wp:inline distT="0" distB="0" distL="0" distR="0">
            <wp:extent cx="5457825" cy="30765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57825" cy="3076575"/>
                    </a:xfrm>
                    <a:prstGeom prst="rect">
                      <a:avLst/>
                    </a:prstGeom>
                  </pic:spPr>
                </pic:pic>
              </a:graphicData>
            </a:graphic>
          </wp:inline>
        </w:drawing>
      </w:r>
    </w:p>
    <w:p>
      <w:pPr>
        <w:pBdr>
          <w:top w:val="single" w:color="D5DDE7" w:sz="2" w:space="4"/>
        </w:pBdr>
        <w:spacing w:after="200"/>
        <w:jc w:val="center"/>
      </w:pPr>
      <w:r>
        <w:rPr>
          <w:rFonts w:ascii="Calibri" w:eastAsia="Microsoft YaHei"/>
          <w:i/>
          <w:iCs/>
          <w:color w:val="6878A0"/>
          <w:sz w:val="18"/>
          <w:szCs w:val="18"/>
        </w:rPr>
        <w:t xml:space="preserve">Exhibit 11. Content Studio — library with entity tabs, status filter, bulk publish and pagination</w:t>
      </w:r>
    </w:p>
    <w:p>
      <w:pPr>
        <w:pStyle w:val="Heading3"/>
        <w:spacing w:after="100" w:before="240"/>
      </w:pPr>
      <w:bookmarkStart w:id="100027" w:name="_Toc100027"/>
      <w:r>
        <w:rPr>
          <w:rFonts w:ascii="Calibri" w:eastAsia="SimHei"/>
          <w:b/>
          <w:bCs/>
          <w:color w:val="1A2B40"/>
          <w:sz w:val="24"/>
          <w:szCs w:val="24"/>
        </w:rPr>
        <w:t xml:space="preserve">What it manages</w:t>
      </w:r>
      <w:bookmarkEnd w:id="100027"/>
    </w:p>
    <w:p>
      <w:pPr>
        <w:pStyle w:val="ListParagraph"/>
        <w:numPr>
          <w:ilvl w:val="0"/>
          <w:numId w:val="7"/>
        </w:numPr>
        <w:spacing w:after="60" w:line="312"/>
      </w:pPr>
      <w:r>
        <w:rPr>
          <w:rFonts w:ascii="Calibri" w:eastAsia="Microsoft YaHei"/>
          <w:b/>
          <w:bCs/>
          <w:color w:val="0A1628"/>
          <w:sz w:val="22"/>
          <w:szCs w:val="22"/>
        </w:rPr>
        <w:t xml:space="preserve">Articles</w:t>
      </w:r>
      <w:r>
        <w:rPr>
          <w:rFonts w:ascii="Calibri" w:eastAsia="Microsoft YaHei"/>
          <w:color w:val="1A2B40"/>
          <w:sz w:val="22"/>
          <w:szCs w:val="22"/>
        </w:rPr>
        <w:t xml:space="preserve"> — knowledge-base and learn-hub pieces (markdown body with a formatting toolbar and direct media-library image insertion).</w:t>
      </w:r>
    </w:p>
    <w:p>
      <w:pPr>
        <w:pStyle w:val="ListParagraph"/>
        <w:numPr>
          <w:ilvl w:val="0"/>
          <w:numId w:val="7"/>
        </w:numPr>
        <w:spacing w:after="60" w:line="312"/>
      </w:pPr>
      <w:r>
        <w:rPr>
          <w:rFonts w:ascii="Calibri" w:eastAsia="Microsoft YaHei"/>
          <w:b/>
          <w:bCs/>
          <w:color w:val="0A1628"/>
          <w:sz w:val="22"/>
          <w:szCs w:val="22"/>
        </w:rPr>
        <w:t xml:space="preserve">News &amp; Events</w:t>
      </w:r>
      <w:r>
        <w:rPr>
          <w:rFonts w:ascii="Calibri" w:eastAsia="Microsoft YaHei"/>
          <w:color w:val="1A2B40"/>
          <w:sz w:val="22"/>
          <w:szCs w:val="22"/>
        </w:rPr>
        <w:t xml:space="preserve"> — newsroom posts with tag and optional event date.</w:t>
      </w:r>
    </w:p>
    <w:p>
      <w:pPr>
        <w:pStyle w:val="ListParagraph"/>
        <w:numPr>
          <w:ilvl w:val="0"/>
          <w:numId w:val="7"/>
        </w:numPr>
        <w:spacing w:after="60" w:line="312"/>
      </w:pPr>
      <w:r>
        <w:rPr>
          <w:rFonts w:ascii="Calibri" w:eastAsia="Microsoft YaHei"/>
          <w:b/>
          <w:bCs/>
          <w:color w:val="0A1628"/>
          <w:sz w:val="22"/>
          <w:szCs w:val="22"/>
        </w:rPr>
        <w:t xml:space="preserve">Pages</w:t>
      </w:r>
      <w:r>
        <w:rPr>
          <w:rFonts w:ascii="Calibri" w:eastAsia="Microsoft YaHei"/>
          <w:color w:val="1A2B40"/>
          <w:sz w:val="22"/>
          <w:szCs w:val="22"/>
        </w:rPr>
        <w:t xml:space="preserve"> — composed visually from 13 registered block types via the page builder (drag-reorder, live desktop/tablet/mobile preview, JSON escape hatch).</w:t>
      </w:r>
    </w:p>
    <w:p>
      <w:pPr>
        <w:pStyle w:val="ListParagraph"/>
        <w:numPr>
          <w:ilvl w:val="0"/>
          <w:numId w:val="7"/>
        </w:numPr>
        <w:spacing w:after="60" w:line="312"/>
      </w:pPr>
      <w:r>
        <w:rPr>
          <w:rFonts w:ascii="Calibri" w:eastAsia="Microsoft YaHei"/>
          <w:b/>
          <w:bCs/>
          <w:color w:val="0A1628"/>
          <w:sz w:val="22"/>
          <w:szCs w:val="22"/>
        </w:rPr>
        <w:t xml:space="preserve">FAQ</w:t>
      </w:r>
      <w:r>
        <w:rPr>
          <w:rFonts w:ascii="Calibri" w:eastAsia="Microsoft YaHei"/>
          <w:color w:val="1A2B40"/>
          <w:sz w:val="22"/>
          <w:szCs w:val="22"/>
        </w:rPr>
        <w:t xml:space="preserve"> — question/answer entries grouped by area (support-facing).</w:t>
      </w:r>
    </w:p>
    <w:p>
      <w:pPr>
        <w:pStyle w:val="Heading3"/>
        <w:spacing w:after="100" w:before="240"/>
      </w:pPr>
      <w:bookmarkStart w:id="100028" w:name="_Toc100028"/>
      <w:r>
        <w:rPr>
          <w:rFonts w:ascii="Calibri" w:eastAsia="SimHei"/>
          <w:b/>
          <w:bCs/>
          <w:color w:val="1A2B40"/>
          <w:sz w:val="24"/>
          <w:szCs w:val="24"/>
        </w:rPr>
        <w:t xml:space="preserve">Step-by-step: publish an article</w:t>
      </w:r>
      <w:bookmarkEnd w:id="100028"/>
    </w:p>
    <w:p>
      <w:pPr>
        <w:pStyle w:val="ListParagraph"/>
        <w:numPr>
          <w:ilvl w:val="0"/>
          <w:numId w:val="8"/>
        </w:numPr>
        <w:spacing w:after="60" w:line="312"/>
      </w:pPr>
      <w:r>
        <w:rPr>
          <w:rFonts w:ascii="Calibri" w:eastAsia="Microsoft YaHei"/>
          <w:color w:val="1A2B40"/>
          <w:sz w:val="22"/>
          <w:szCs w:val="22"/>
        </w:rPr>
        <w:t xml:space="preserve">Open </w:t>
      </w:r>
      <w:r>
        <w:rPr>
          <w:rFonts w:ascii="Calibri" w:eastAsia="Microsoft YaHei"/>
          <w:b/>
          <w:bCs/>
          <w:color w:val="0A1628"/>
          <w:sz w:val="22"/>
          <w:szCs w:val="22"/>
        </w:rPr>
        <w:t xml:space="preserve">Content Studio</w:t>
      </w:r>
      <w:r>
        <w:rPr>
          <w:rFonts w:ascii="Calibri" w:eastAsia="Microsoft YaHei"/>
          <w:color w:val="1A2B40"/>
          <w:sz w:val="22"/>
          <w:szCs w:val="22"/>
        </w:rPr>
        <w:t xml:space="preserve"> and press </w:t>
      </w:r>
      <w:r>
        <w:rPr>
          <w:rFonts w:ascii="Calibri" w:eastAsia="Microsoft YaHei"/>
          <w:b/>
          <w:bCs/>
          <w:color w:val="0A1628"/>
          <w:sz w:val="22"/>
          <w:szCs w:val="22"/>
        </w:rPr>
        <w:t xml:space="preserve">+ New article</w:t>
      </w:r>
      <w:r>
        <w:rPr>
          <w:rFonts w:ascii="Calibri" w:eastAsia="Microsoft YaHei"/>
          <w:color w:val="1A2B40"/>
          <w:sz w:val="22"/>
          <w:szCs w:val="22"/>
        </w:rPr>
        <w:t xml:space="preserve">.</w:t>
      </w:r>
    </w:p>
    <w:p>
      <w:pPr>
        <w:pStyle w:val="ListParagraph"/>
        <w:numPr>
          <w:ilvl w:val="0"/>
          <w:numId w:val="8"/>
        </w:numPr>
        <w:spacing w:after="60" w:line="312"/>
      </w:pPr>
      <w:r>
        <w:rPr>
          <w:rFonts w:ascii="Calibri" w:eastAsia="Microsoft YaHei"/>
          <w:color w:val="1A2B40"/>
          <w:sz w:val="22"/>
          <w:szCs w:val="22"/>
        </w:rPr>
        <w:t xml:space="preserve">Enter the title (slug auto-derives), a deck/summary, and write the body in markdown. A live word count and reading-time estimate appear under the editor.</w:t>
      </w:r>
    </w:p>
    <w:p>
      <w:pPr>
        <w:pStyle w:val="ListParagraph"/>
        <w:numPr>
          <w:ilvl w:val="0"/>
          <w:numId w:val="8"/>
        </w:numPr>
        <w:spacing w:after="60" w:line="312"/>
      </w:pPr>
      <w:r>
        <w:rPr>
          <w:rFonts w:ascii="Calibri" w:eastAsia="Microsoft YaHei"/>
          <w:color w:val="1A2B40"/>
          <w:sz w:val="22"/>
          <w:szCs w:val="22"/>
        </w:rPr>
        <w:t xml:space="preserve">Press </w:t>
      </w:r>
      <w:r>
        <w:rPr>
          <w:rFonts w:ascii="Calibri" w:eastAsia="Microsoft YaHei"/>
          <w:b/>
          <w:bCs/>
          <w:color w:val="0A1628"/>
          <w:sz w:val="22"/>
          <w:szCs w:val="22"/>
        </w:rPr>
        <w:t xml:space="preserve">Create draft</w:t>
      </w:r>
      <w:r>
        <w:rPr>
          <w:rFonts w:ascii="Calibri" w:eastAsia="Microsoft YaHei"/>
          <w:color w:val="1A2B40"/>
          <w:sz w:val="22"/>
          <w:szCs w:val="22"/>
        </w:rPr>
        <w:t xml:space="preserve">. The editor remounts on the saved row and workflow buttons appear.</w:t>
      </w:r>
    </w:p>
    <w:p>
      <w:pPr>
        <w:pStyle w:val="ListParagraph"/>
        <w:numPr>
          <w:ilvl w:val="0"/>
          <w:numId w:val="8"/>
        </w:numPr>
        <w:spacing w:after="60" w:line="312"/>
      </w:pPr>
      <w:r>
        <w:rPr>
          <w:rFonts w:ascii="Calibri" w:eastAsia="Microsoft YaHei"/>
          <w:color w:val="1A2B40"/>
          <w:sz w:val="22"/>
          <w:szCs w:val="22"/>
        </w:rPr>
        <w:t xml:space="preserve">Choose </w:t>
      </w:r>
      <w:r>
        <w:rPr>
          <w:rFonts w:ascii="Calibri" w:eastAsia="Microsoft YaHei"/>
          <w:b/>
          <w:bCs/>
          <w:color w:val="0A1628"/>
          <w:sz w:val="22"/>
          <w:szCs w:val="22"/>
        </w:rPr>
        <w:t xml:space="preserve">Submit for review</w:t>
      </w:r>
      <w:r>
        <w:rPr>
          <w:rFonts w:ascii="Calibri" w:eastAsia="Microsoft YaHei"/>
          <w:color w:val="1A2B40"/>
          <w:sz w:val="22"/>
          <w:szCs w:val="22"/>
        </w:rPr>
        <w:t xml:space="preserve"> (author) or </w:t>
      </w:r>
      <w:r>
        <w:rPr>
          <w:rFonts w:ascii="Calibri" w:eastAsia="Microsoft YaHei"/>
          <w:b/>
          <w:bCs/>
          <w:color w:val="0A1628"/>
          <w:sz w:val="22"/>
          <w:szCs w:val="22"/>
        </w:rPr>
        <w:t xml:space="preserve">Publish</w:t>
      </w:r>
      <w:r>
        <w:rPr>
          <w:rFonts w:ascii="Calibri" w:eastAsia="Microsoft YaHei"/>
          <w:color w:val="1A2B40"/>
          <w:sz w:val="22"/>
          <w:szCs w:val="22"/>
        </w:rPr>
        <w:t xml:space="preserve"> (editor+). Optionally set a future date with Publish at to schedule — the scheduled publisher promotes it automatically.</w:t>
      </w:r>
    </w:p>
    <w:p>
      <w:pPr>
        <w:pStyle w:val="ListParagraph"/>
        <w:numPr>
          <w:ilvl w:val="0"/>
          <w:numId w:val="8"/>
        </w:numPr>
        <w:spacing w:after="60" w:line="312"/>
      </w:pPr>
      <w:r>
        <w:rPr>
          <w:rFonts w:ascii="Calibri" w:eastAsia="Microsoft YaHei"/>
          <w:color w:val="1A2B40"/>
          <w:sz w:val="22"/>
          <w:szCs w:val="22"/>
        </w:rPr>
        <w:t xml:space="preserve">Published articles appear on the website's news/learn surfaces after the content export (automatic in production builds). The Review Queue tab shows items awaiting an editor: open one to see a visual diff against the published revision, leave comments, then publish or send back.</w:t>
      </w:r>
    </w:p>
    <w:p>
      <w:pPr>
        <w:pStyle w:val="Heading3"/>
        <w:spacing w:after="100" w:before="240"/>
      </w:pPr>
      <w:bookmarkStart w:id="100029" w:name="_Toc100029"/>
      <w:r>
        <w:rPr>
          <w:rFonts w:ascii="Calibri" w:eastAsia="SimHei"/>
          <w:b/>
          <w:bCs/>
          <w:color w:val="1A2B40"/>
          <w:sz w:val="24"/>
          <w:szCs w:val="24"/>
        </w:rPr>
        <w:t xml:space="preserve">Revisions, rollback and conflicts</w:t>
      </w:r>
      <w:bookmarkEnd w:id="100029"/>
    </w:p>
    <w:p>
      <w:pPr>
        <w:spacing w:after="120" w:line="312"/>
        <w:jc w:val="both"/>
      </w:pPr>
      <w:r>
        <w:rPr>
          <w:rFonts w:ascii="Calibri" w:eastAsia="Microsoft YaHei"/>
          <w:color w:val="1A2B40"/>
          <w:sz w:val="22"/>
          <w:szCs w:val="22"/>
        </w:rPr>
        <w:t xml:space="preserve">Every publish snapshots the prior version. The Revisions tab lists snapshots with actor and time, shows a diff against your current draft, and offers one-click Rollback (editor+). Saves carry optimistic locking: if a colleague saved while you were editing, the API refuses yours with a conflict banner — reload fresh and re-apply, nothing is silently overwritten.</w:t>
      </w:r>
    </w:p>
    <w:p>
      <w:pPr>
        <w:pStyle w:val="Heading2"/>
        <w:spacing w:after="120" w:before="300"/>
      </w:pPr>
      <w:bookmarkStart w:id="100030" w:name="_Toc100030"/>
      <w:r>
        <w:rPr>
          <w:rFonts w:ascii="Calibri" w:eastAsia="SimHei"/>
          <w:b/>
          <w:bCs/>
          <w:color w:val="0A1628"/>
          <w:sz w:val="28"/>
          <w:szCs w:val="28"/>
        </w:rPr>
        <w:t xml:space="preserve">5.3 Products (Catalog)</w:t>
      </w:r>
      <w:bookmarkEnd w:id="100030"/>
    </w:p>
    <w:p>
      <w:pPr>
        <w:keepNext/>
        <w:spacing w:after="60" w:before="160"/>
        <w:jc w:val="center"/>
      </w:pPr>
      <w:r>
        <w:drawing>
          <wp:inline distT="0" distB="0" distL="0" distR="0">
            <wp:extent cx="5457825" cy="30765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57825" cy="3076575"/>
                    </a:xfrm>
                    <a:prstGeom prst="rect">
                      <a:avLst/>
                    </a:prstGeom>
                  </pic:spPr>
                </pic:pic>
              </a:graphicData>
            </a:graphic>
          </wp:inline>
        </w:drawing>
      </w:r>
    </w:p>
    <w:p>
      <w:pPr>
        <w:pBdr>
          <w:top w:val="single" w:color="D5DDE7" w:sz="2" w:space="4"/>
        </w:pBdr>
        <w:spacing w:after="200"/>
        <w:jc w:val="center"/>
      </w:pPr>
      <w:r>
        <w:rPr>
          <w:rFonts w:ascii="Calibri" w:eastAsia="Microsoft YaHei"/>
          <w:i/>
          <w:iCs/>
          <w:color w:val="6878A0"/>
          <w:sz w:val="18"/>
          <w:szCs w:val="18"/>
        </w:rPr>
        <w:t xml:space="preserve">Exhibit 12. Products — searchable catalog with pricing, status, facets and taxonomy filter</w:t>
      </w:r>
    </w:p>
    <w:p>
      <w:pPr>
        <w:pStyle w:val="Heading3"/>
        <w:spacing w:after="100" w:before="240"/>
      </w:pPr>
      <w:bookmarkStart w:id="100031" w:name="_Toc100031"/>
      <w:r>
        <w:rPr>
          <w:rFonts w:ascii="Calibri" w:eastAsia="SimHei"/>
          <w:b/>
          <w:bCs/>
          <w:color w:val="1A2B40"/>
          <w:sz w:val="24"/>
          <w:szCs w:val="24"/>
        </w:rPr>
        <w:t xml:space="preserve">Step-by-step: create a product</w:t>
      </w:r>
      <w:bookmarkEnd w:id="100031"/>
    </w:p>
    <w:p>
      <w:pPr>
        <w:pStyle w:val="ListParagraph"/>
        <w:numPr>
          <w:ilvl w:val="0"/>
          <w:numId w:val="9"/>
        </w:numPr>
        <w:spacing w:after="60" w:line="312"/>
      </w:pPr>
      <w:r>
        <w:rPr>
          <w:rFonts w:ascii="Calibri" w:eastAsia="Microsoft YaHei"/>
          <w:color w:val="1A2B40"/>
          <w:sz w:val="22"/>
          <w:szCs w:val="22"/>
        </w:rPr>
        <w:t xml:space="preserve">Open </w:t>
      </w:r>
      <w:r>
        <w:rPr>
          <w:rFonts w:ascii="Calibri" w:eastAsia="Microsoft YaHei"/>
          <w:b/>
          <w:bCs/>
          <w:color w:val="0A1628"/>
          <w:sz w:val="22"/>
          <w:szCs w:val="22"/>
        </w:rPr>
        <w:t xml:space="preserve">Products</w:t>
      </w:r>
      <w:r>
        <w:rPr>
          <w:rFonts w:ascii="Calibri" w:eastAsia="Microsoft YaHei"/>
          <w:color w:val="1A2B40"/>
          <w:sz w:val="22"/>
          <w:szCs w:val="22"/>
        </w:rPr>
        <w:t xml:space="preserve"> and press </w:t>
      </w:r>
      <w:r>
        <w:rPr>
          <w:rFonts w:ascii="Calibri" w:eastAsia="Microsoft YaHei"/>
          <w:b/>
          <w:bCs/>
          <w:color w:val="0A1628"/>
          <w:sz w:val="22"/>
          <w:szCs w:val="22"/>
        </w:rPr>
        <w:t xml:space="preserve">+ New product</w:t>
      </w:r>
      <w:r>
        <w:rPr>
          <w:rFonts w:ascii="Calibri" w:eastAsia="Microsoft YaHei"/>
          <w:color w:val="1A2B40"/>
          <w:sz w:val="22"/>
          <w:szCs w:val="22"/>
        </w:rPr>
        <w:t xml:space="preserve">.</w:t>
      </w:r>
    </w:p>
    <w:p>
      <w:pPr>
        <w:pStyle w:val="ListParagraph"/>
        <w:numPr>
          <w:ilvl w:val="0"/>
          <w:numId w:val="9"/>
        </w:numPr>
        <w:spacing w:after="60" w:line="312"/>
      </w:pPr>
      <w:r>
        <w:rPr>
          <w:rFonts w:ascii="Calibri" w:eastAsia="Microsoft YaHei"/>
          <w:color w:val="1A2B40"/>
          <w:sz w:val="22"/>
          <w:szCs w:val="22"/>
        </w:rPr>
        <w:t xml:space="preserve">Fill </w:t>
      </w:r>
      <w:r>
        <w:rPr>
          <w:rFonts w:ascii="Calibri" w:eastAsia="Microsoft YaHei"/>
          <w:b/>
          <w:bCs/>
          <w:color w:val="0A1628"/>
          <w:sz w:val="22"/>
          <w:szCs w:val="22"/>
        </w:rPr>
        <w:t xml:space="preserve">Identity</w:t>
      </w:r>
      <w:r>
        <w:rPr>
          <w:rFonts w:ascii="Calibri" w:eastAsia="Microsoft YaHei"/>
          <w:color w:val="1A2B40"/>
          <w:sz w:val="22"/>
          <w:szCs w:val="22"/>
        </w:rPr>
        <w:t xml:space="preserve">: name, SKU (A-Z 0-9 dashes), slug, status, brand, category.</w:t>
      </w:r>
    </w:p>
    <w:p>
      <w:pPr>
        <w:pStyle w:val="ListParagraph"/>
        <w:numPr>
          <w:ilvl w:val="0"/>
          <w:numId w:val="9"/>
        </w:numPr>
        <w:spacing w:after="60" w:line="312"/>
      </w:pPr>
      <w:r>
        <w:rPr>
          <w:rFonts w:ascii="Calibri" w:eastAsia="Microsoft YaHei"/>
          <w:color w:val="1A2B40"/>
          <w:sz w:val="22"/>
          <w:szCs w:val="22"/>
        </w:rPr>
        <w:t xml:space="preserve">Complete </w:t>
      </w:r>
      <w:r>
        <w:rPr>
          <w:rFonts w:ascii="Calibri" w:eastAsia="Microsoft YaHei"/>
          <w:b/>
          <w:bCs/>
          <w:color w:val="0A1628"/>
          <w:sz w:val="22"/>
          <w:szCs w:val="22"/>
        </w:rPr>
        <w:t xml:space="preserve">Storefront card</w:t>
      </w:r>
      <w:r>
        <w:rPr>
          <w:rFonts w:ascii="Calibri" w:eastAsia="Microsoft YaHei"/>
          <w:color w:val="1A2B40"/>
          <w:sz w:val="22"/>
          <w:szCs w:val="22"/>
        </w:rPr>
        <w:t xml:space="preserve">: the catalog card line (one-liner under the product name), marketing description and badges. A live preview mirrors the public shop card as you type — including a live-on-next-export / draft indicator.</w:t>
      </w:r>
    </w:p>
    <w:p>
      <w:pPr>
        <w:pStyle w:val="ListParagraph"/>
        <w:numPr>
          <w:ilvl w:val="0"/>
          <w:numId w:val="9"/>
        </w:numPr>
        <w:spacing w:after="60" w:line="312"/>
      </w:pPr>
      <w:r>
        <w:rPr>
          <w:rFonts w:ascii="Calibri" w:eastAsia="Microsoft YaHei"/>
          <w:color w:val="1A2B40"/>
          <w:sz w:val="22"/>
          <w:szCs w:val="22"/>
        </w:rPr>
        <w:t xml:space="preserve">Set </w:t>
      </w:r>
      <w:r>
        <w:rPr>
          <w:rFonts w:ascii="Calibri" w:eastAsia="Microsoft YaHei"/>
          <w:b/>
          <w:bCs/>
          <w:color w:val="0A1628"/>
          <w:sz w:val="22"/>
          <w:szCs w:val="22"/>
        </w:rPr>
        <w:t xml:space="preserve">Shop facets</w:t>
      </w:r>
      <w:r>
        <w:rPr>
          <w:rFonts w:ascii="Calibri" w:eastAsia="Microsoft YaHei"/>
          <w:color w:val="1A2B40"/>
          <w:sz w:val="22"/>
          <w:szCs w:val="22"/>
        </w:rPr>
        <w:t xml:space="preserve">: generation, capacity, interface and form factor. These drive the public shop filters; suggestions are built-in.</w:t>
      </w:r>
    </w:p>
    <w:p>
      <w:pPr>
        <w:pStyle w:val="ListParagraph"/>
        <w:numPr>
          <w:ilvl w:val="0"/>
          <w:numId w:val="9"/>
        </w:numPr>
        <w:spacing w:after="60" w:line="312"/>
      </w:pPr>
      <w:r>
        <w:rPr>
          <w:rFonts w:ascii="Calibri" w:eastAsia="Microsoft YaHei"/>
          <w:color w:val="1A2B40"/>
          <w:sz w:val="22"/>
          <w:szCs w:val="22"/>
        </w:rPr>
        <w:t xml:space="preserve">Complete </w:t>
      </w:r>
      <w:r>
        <w:rPr>
          <w:rFonts w:ascii="Calibri" w:eastAsia="Microsoft YaHei"/>
          <w:b/>
          <w:bCs/>
          <w:color w:val="0A1628"/>
          <w:sz w:val="22"/>
          <w:szCs w:val="22"/>
        </w:rPr>
        <w:t xml:space="preserve">Pricing &amp; warranty</w:t>
      </w:r>
      <w:r>
        <w:rPr>
          <w:rFonts w:ascii="Calibri" w:eastAsia="Microsoft YaHei"/>
          <w:color w:val="1A2B40"/>
          <w:sz w:val="22"/>
          <w:szCs w:val="22"/>
        </w:rPr>
        <w:t xml:space="preserve"> (list price + authorized currency, warranty term shown on the product page), </w:t>
      </w:r>
      <w:r>
        <w:rPr>
          <w:rFonts w:ascii="Calibri" w:eastAsia="Microsoft YaHei"/>
          <w:b/>
          <w:bCs/>
          <w:color w:val="0A1628"/>
          <w:sz w:val="22"/>
          <w:szCs w:val="22"/>
        </w:rPr>
        <w:t xml:space="preserve">Specifications</w:t>
      </w:r>
      <w:r>
        <w:rPr>
          <w:rFonts w:ascii="Calibri" w:eastAsia="Microsoft YaHei"/>
          <w:color w:val="1A2B40"/>
          <w:sz w:val="22"/>
          <w:szCs w:val="22"/>
        </w:rPr>
        <w:t xml:space="preserve"> (key/value rows), </w:t>
      </w:r>
      <w:r>
        <w:rPr>
          <w:rFonts w:ascii="Calibri" w:eastAsia="Microsoft YaHei"/>
          <w:b/>
          <w:bCs/>
          <w:color w:val="0A1628"/>
          <w:sz w:val="22"/>
          <w:szCs w:val="22"/>
        </w:rPr>
        <w:t xml:space="preserve">Datasheets</w:t>
      </w:r>
      <w:r>
        <w:rPr>
          <w:rFonts w:ascii="Calibri" w:eastAsia="Microsoft YaHei"/>
          <w:color w:val="1A2B40"/>
          <w:sz w:val="22"/>
          <w:szCs w:val="22"/>
        </w:rPr>
        <w:t xml:space="preserve"> and </w:t>
      </w:r>
      <w:r>
        <w:rPr>
          <w:rFonts w:ascii="Calibri" w:eastAsia="Microsoft YaHei"/>
          <w:b/>
          <w:bCs/>
          <w:color w:val="0A1628"/>
          <w:sz w:val="22"/>
          <w:szCs w:val="22"/>
        </w:rPr>
        <w:t xml:space="preserve">Images</w:t>
      </w:r>
      <w:r>
        <w:rPr>
          <w:rFonts w:ascii="Calibri" w:eastAsia="Microsoft YaHei"/>
          <w:color w:val="1A2B40"/>
          <w:sz w:val="22"/>
          <w:szCs w:val="22"/>
        </w:rPr>
        <w:t xml:space="preserve"> (hero + gallery via the media picker).</w:t>
      </w:r>
    </w:p>
    <w:p>
      <w:pPr>
        <w:pStyle w:val="ListParagraph"/>
        <w:numPr>
          <w:ilvl w:val="0"/>
          <w:numId w:val="9"/>
        </w:numPr>
        <w:spacing w:after="60" w:line="312"/>
      </w:pPr>
      <w:r>
        <w:rPr>
          <w:rFonts w:ascii="Calibri" w:eastAsia="Microsoft YaHei"/>
          <w:color w:val="1A2B40"/>
          <w:sz w:val="22"/>
          <w:szCs w:val="22"/>
        </w:rPr>
        <w:t xml:space="preserve">Press </w:t>
      </w:r>
      <w:r>
        <w:rPr>
          <w:rFonts w:ascii="Calibri" w:eastAsia="Microsoft YaHei"/>
          <w:b/>
          <w:bCs/>
          <w:color w:val="0A1628"/>
          <w:sz w:val="22"/>
          <w:szCs w:val="22"/>
        </w:rPr>
        <w:t xml:space="preserve">Create product</w:t>
      </w:r>
      <w:r>
        <w:rPr>
          <w:rFonts w:ascii="Calibri" w:eastAsia="Microsoft YaHei"/>
          <w:color w:val="1A2B40"/>
          <w:sz w:val="22"/>
          <w:szCs w:val="22"/>
        </w:rPr>
        <w:t xml:space="preserve">, then </w:t>
      </w:r>
      <w:r>
        <w:rPr>
          <w:rFonts w:ascii="Calibri" w:eastAsia="Microsoft YaHei"/>
          <w:b/>
          <w:bCs/>
          <w:color w:val="0A1628"/>
          <w:sz w:val="22"/>
          <w:szCs w:val="22"/>
        </w:rPr>
        <w:t xml:space="preserve">Publish</w:t>
      </w:r>
      <w:r>
        <w:rPr>
          <w:rFonts w:ascii="Calibri" w:eastAsia="Microsoft YaHei"/>
          <w:color w:val="1A2B40"/>
          <w:sz w:val="22"/>
          <w:szCs w:val="22"/>
        </w:rPr>
        <w:t xml:space="preserve"> when ready. Published products flow to the public shop/product pages on the next content export.</w:t>
      </w:r>
    </w:p>
    <w:p>
      <w:pPr>
        <w:keepNext/>
        <w:spacing w:after="60" w:before="160"/>
        <w:jc w:val="center"/>
      </w:pPr>
      <w:r>
        <w:drawing>
          <wp:inline distT="0" distB="0" distL="0" distR="0">
            <wp:extent cx="5457825" cy="30765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57825" cy="3076575"/>
                    </a:xfrm>
                    <a:prstGeom prst="rect">
                      <a:avLst/>
                    </a:prstGeom>
                  </pic:spPr>
                </pic:pic>
              </a:graphicData>
            </a:graphic>
          </wp:inline>
        </w:drawing>
      </w:r>
    </w:p>
    <w:p>
      <w:pPr>
        <w:pBdr>
          <w:top w:val="single" w:color="D5DDE7" w:sz="2" w:space="4"/>
        </w:pBdr>
        <w:spacing w:after="200"/>
        <w:jc w:val="center"/>
      </w:pPr>
      <w:r>
        <w:rPr>
          <w:rFonts w:ascii="Calibri" w:eastAsia="Microsoft YaHei"/>
          <w:i/>
          <w:iCs/>
          <w:color w:val="6878A0"/>
          <w:sz w:val="18"/>
          <w:szCs w:val="18"/>
        </w:rPr>
        <w:t xml:space="preserve">Exhibit 13. Product editor — storefront preview, facets, pricing &amp; warranty</w:t>
      </w:r>
    </w:p>
    <w:p>
      <w:pPr>
        <w:pStyle w:val="Heading3"/>
        <w:spacing w:after="100" w:before="240"/>
      </w:pPr>
      <w:bookmarkStart w:id="100032" w:name="_Toc100032"/>
      <w:r>
        <w:rPr>
          <w:rFonts w:ascii="Calibri" w:eastAsia="SimHei"/>
          <w:b/>
          <w:bCs/>
          <w:color w:val="1A2B40"/>
          <w:sz w:val="24"/>
          <w:szCs w:val="24"/>
        </w:rPr>
        <w:t xml:space="preserve">Variants, import and export</w:t>
      </w:r>
      <w:bookmarkEnd w:id="100032"/>
    </w:p>
    <w:p>
      <w:pPr>
        <w:spacing w:after="120" w:line="312"/>
        <w:jc w:val="both"/>
      </w:pPr>
      <w:r>
        <w:rPr>
          <w:rFonts w:ascii="Calibri" w:eastAsia="Microsoft YaHei"/>
          <w:color w:val="1A2B40"/>
          <w:sz w:val="22"/>
          <w:szCs w:val="22"/>
        </w:rPr>
        <w:t xml:space="preserve">The Variants &amp; SKUs tab manages hardware variants (capacity/speed/finish/lighting with per-variant price and stock) inside the product's designed extension point. The Import / Export dialog downloads a CSV template and uploads batch catalogs with dry-run validation; a full-catalog export is one click. Product deletions are soft (recoverable) and blocked while media assets reference the product.</w:t>
      </w:r>
    </w:p>
    <w:p>
      <w:pPr>
        <w:pStyle w:val="Heading2"/>
        <w:spacing w:after="120" w:before="300"/>
      </w:pPr>
      <w:bookmarkStart w:id="100033" w:name="_Toc100033"/>
      <w:r>
        <w:rPr>
          <w:rFonts w:ascii="Calibri" w:eastAsia="SimHei"/>
          <w:b/>
          <w:bCs/>
          <w:color w:val="0A1628"/>
          <w:sz w:val="28"/>
          <w:szCs w:val="28"/>
        </w:rPr>
        <w:t xml:space="preserve">5.4 Compatibility Matrix (QVL)</w:t>
      </w:r>
      <w:bookmarkEnd w:id="100033"/>
    </w:p>
    <w:p>
      <w:pPr>
        <w:spacing w:after="120" w:line="312"/>
        <w:jc w:val="both"/>
      </w:pPr>
      <w:r>
        <w:rPr>
          <w:rFonts w:ascii="Calibri" w:eastAsia="Microsoft YaHei"/>
          <w:color w:val="1A2B40"/>
          <w:sz w:val="22"/>
          <w:szCs w:val="22"/>
        </w:rPr>
        <w:t xml:space="preserve">The Compatibility module maintains the validated-device rules behind the public finder: device type tab, brand, model, memory generation, form factor, maximum RAM, slot count, validated speed, recommended product categories and the SSD upgrade note. Search, type/generation filters and coverage counters sit above the list; batch CSV import (dry-run first, upsert by type+brand+model+gen+form) handles factory QVL manifests. Every rule change is editor-guarded and audited.</w:t>
      </w:r>
    </w:p>
    <w:p>
      <w:pPr>
        <w:pStyle w:val="Heading2"/>
        <w:spacing w:after="120" w:before="300"/>
      </w:pPr>
      <w:bookmarkStart w:id="100034" w:name="_Toc100034"/>
      <w:r>
        <w:rPr>
          <w:rFonts w:ascii="Calibri" w:eastAsia="SimHei"/>
          <w:b/>
          <w:bCs/>
          <w:color w:val="0A1628"/>
          <w:sz w:val="28"/>
          <w:szCs w:val="28"/>
        </w:rPr>
        <w:t xml:space="preserve">5.5 Leads &amp; Quotes</w:t>
      </w:r>
      <w:bookmarkEnd w:id="100034"/>
    </w:p>
    <w:p>
      <w:pPr>
        <w:keepNext/>
        <w:spacing w:after="60" w:before="160"/>
        <w:jc w:val="center"/>
      </w:pPr>
      <w:r>
        <w:drawing>
          <wp:inline distT="0" distB="0" distL="0" distR="0">
            <wp:extent cx="5457825" cy="30765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57825" cy="3076575"/>
                    </a:xfrm>
                    <a:prstGeom prst="rect">
                      <a:avLst/>
                    </a:prstGeom>
                  </pic:spPr>
                </pic:pic>
              </a:graphicData>
            </a:graphic>
          </wp:inline>
        </w:drawing>
      </w:r>
    </w:p>
    <w:p>
      <w:pPr>
        <w:pBdr>
          <w:top w:val="single" w:color="D5DDE7" w:sz="2" w:space="4"/>
        </w:pBdr>
        <w:spacing w:after="200"/>
        <w:jc w:val="center"/>
      </w:pPr>
      <w:r>
        <w:rPr>
          <w:rFonts w:ascii="Calibri" w:eastAsia="Microsoft YaHei"/>
          <w:i/>
          <w:iCs/>
          <w:color w:val="6878A0"/>
          <w:sz w:val="18"/>
          <w:szCs w:val="18"/>
        </w:rPr>
        <w:t xml:space="preserve">Exhibit 14. Leads &amp; quotes — SLA-tracked inbox with ownership routing and speed-to-lead column</w:t>
      </w:r>
    </w:p>
    <w:p>
      <w:pPr>
        <w:pStyle w:val="Heading3"/>
        <w:spacing w:after="100" w:before="240"/>
      </w:pPr>
      <w:bookmarkStart w:id="100035" w:name="_Toc100035"/>
      <w:r>
        <w:rPr>
          <w:rFonts w:ascii="Calibri" w:eastAsia="SimHei"/>
          <w:b/>
          <w:bCs/>
          <w:color w:val="1A2B40"/>
          <w:sz w:val="24"/>
          <w:szCs w:val="24"/>
        </w:rPr>
        <w:t xml:space="preserve">The lead workflow</w:t>
      </w:r>
      <w:bookmarkEnd w:id="100035"/>
    </w:p>
    <w:p>
      <w:pPr>
        <w:pStyle w:val="ListParagraph"/>
        <w:numPr>
          <w:ilvl w:val="0"/>
          <w:numId w:val="10"/>
        </w:numPr>
        <w:spacing w:after="60" w:line="312"/>
      </w:pPr>
      <w:r>
        <w:rPr>
          <w:rFonts w:ascii="Calibri" w:eastAsia="Microsoft YaHei"/>
          <w:color w:val="1A2B40"/>
          <w:sz w:val="22"/>
          <w:szCs w:val="22"/>
        </w:rPr>
        <w:t xml:space="preserve">A public form (quote, contact, support ticket, distributor application…) posts to the API; the submission lands in the inbox with status </w:t>
      </w:r>
      <w:r>
        <w:rPr>
          <w:rFonts w:ascii="Calibri" w:eastAsia="Microsoft YaHei"/>
          <w:b/>
          <w:bCs/>
          <w:color w:val="0A1628"/>
          <w:sz w:val="22"/>
          <w:szCs w:val="22"/>
        </w:rPr>
        <w:t xml:space="preserve">new</w:t>
      </w:r>
      <w:r>
        <w:rPr>
          <w:rFonts w:ascii="Calibri" w:eastAsia="Microsoft YaHei"/>
          <w:color w:val="1A2B40"/>
          <w:sz w:val="22"/>
          <w:szCs w:val="22"/>
        </w:rPr>
        <w:t xml:space="preserve">, a reference code (QT-/TS-/RMA-2026-…), priority and a first-response SLA deadline derived from its type.</w:t>
      </w:r>
    </w:p>
    <w:p>
      <w:pPr>
        <w:pStyle w:val="ListParagraph"/>
        <w:numPr>
          <w:ilvl w:val="0"/>
          <w:numId w:val="10"/>
        </w:numPr>
        <w:spacing w:after="60" w:line="312"/>
      </w:pPr>
      <w:r>
        <w:rPr>
          <w:rFonts w:ascii="Calibri" w:eastAsia="Microsoft YaHei"/>
          <w:color w:val="1A2B40"/>
          <w:sz w:val="22"/>
          <w:szCs w:val="22"/>
        </w:rPr>
        <w:t xml:space="preserve">Filter the inbox by type/status/priority/SLA, ownership (Anyone / Unassigned queue / Mine / a specific owner) or free text across email, reference and payload.</w:t>
      </w:r>
    </w:p>
    <w:p>
      <w:pPr>
        <w:pStyle w:val="ListParagraph"/>
        <w:numPr>
          <w:ilvl w:val="0"/>
          <w:numId w:val="10"/>
        </w:numPr>
        <w:spacing w:after="60" w:line="312"/>
      </w:pPr>
      <w:r>
        <w:rPr>
          <w:rFonts w:ascii="Calibri" w:eastAsia="Microsoft YaHei"/>
          <w:color w:val="1A2B40"/>
          <w:sz w:val="22"/>
          <w:szCs w:val="22"/>
        </w:rPr>
        <w:t xml:space="preserve">Open a lead to see the full payload, SLA state and the pipeline strip (new → assigned → in progress → resolved / closed / spam). Reassign via the owner dropdown or take it yourself.</w:t>
      </w:r>
    </w:p>
    <w:p>
      <w:pPr>
        <w:pStyle w:val="ListParagraph"/>
        <w:numPr>
          <w:ilvl w:val="0"/>
          <w:numId w:val="10"/>
        </w:numPr>
        <w:spacing w:after="60" w:line="312"/>
      </w:pPr>
      <w:r>
        <w:rPr>
          <w:rFonts w:ascii="Calibri" w:eastAsia="Microsoft YaHei"/>
          <w:color w:val="1A2B40"/>
          <w:sz w:val="22"/>
          <w:szCs w:val="22"/>
        </w:rPr>
        <w:t xml:space="preserve">Use </w:t>
      </w:r>
      <w:r>
        <w:rPr>
          <w:rFonts w:ascii="Calibri" w:eastAsia="Microsoft YaHei"/>
          <w:b/>
          <w:bCs/>
          <w:color w:val="0A1628"/>
          <w:sz w:val="22"/>
          <w:szCs w:val="22"/>
        </w:rPr>
        <w:t xml:space="preserve">Reply to customer</w:t>
      </w:r>
      <w:r>
        <w:rPr>
          <w:rFonts w:ascii="Calibri" w:eastAsia="Microsoft YaHei"/>
          <w:color w:val="1A2B40"/>
          <w:sz w:val="22"/>
          <w:szCs w:val="22"/>
        </w:rPr>
        <w:t xml:space="preserve"> to email the enquirer directly from the case — the mailer sends, first-response time is stamped, the lead is claimed if unowned, and the reply is logged as an internal note. Speed-to-lead metrics (average first reply, share answered within an hour, currently-waiting count) appear in the analytics strip and as a per-row Reply column.</w:t>
      </w:r>
    </w:p>
    <w:p>
      <w:pPr>
        <w:pStyle w:val="ListParagraph"/>
        <w:numPr>
          <w:ilvl w:val="0"/>
          <w:numId w:val="10"/>
        </w:numPr>
        <w:spacing w:after="60" w:line="312"/>
      </w:pPr>
      <w:r>
        <w:rPr>
          <w:rFonts w:ascii="Calibri" w:eastAsia="Microsoft YaHei"/>
          <w:color w:val="1A2B40"/>
          <w:sz w:val="22"/>
          <w:szCs w:val="22"/>
        </w:rPr>
        <w:t xml:space="preserve">Add internal notes for collaboration (audited), then advance the status. Everything on the lead is audit-trailed.</w:t>
      </w:r>
    </w:p>
    <w:p>
      <w:pPr>
        <w:pStyle w:val="Heading3"/>
        <w:spacing w:after="100" w:before="240"/>
      </w:pPr>
      <w:bookmarkStart w:id="100036" w:name="_Toc100036"/>
      <w:r>
        <w:rPr>
          <w:rFonts w:ascii="Calibri" w:eastAsia="SimHei"/>
          <w:b/>
          <w:bCs/>
          <w:color w:val="1A2B40"/>
          <w:sz w:val="24"/>
          <w:szCs w:val="24"/>
        </w:rPr>
        <w:t xml:space="preserve">Reading the analytics</w:t>
      </w:r>
      <w:bookmarkEnd w:id="100036"/>
    </w:p>
    <w:p>
      <w:pPr>
        <w:spacing w:after="120" w:line="312"/>
        <w:jc w:val="both"/>
      </w:pPr>
      <w:r>
        <w:rPr>
          <w:rFonts w:ascii="Calibri" w:eastAsia="Microsoft YaHei"/>
          <w:color w:val="1A2B40"/>
          <w:sz w:val="22"/>
          <w:szCs w:val="22"/>
        </w:rPr>
        <w:t xml:space="preserve">The collapsible strip above the inbox shows the cumulative funnel, SLA gauges (overdue / due soon / healthy), arrivals by type and the reply-rate gauge. The dashboard's SLA risk queue mirrors the most urgent rows.</w:t>
      </w:r>
    </w:p>
    <w:p>
      <w:pPr>
        <w:pStyle w:val="Heading2"/>
        <w:spacing w:after="120" w:before="300"/>
      </w:pPr>
      <w:bookmarkStart w:id="100037" w:name="_Toc100037"/>
      <w:r>
        <w:rPr>
          <w:rFonts w:ascii="Calibri" w:eastAsia="SimHei"/>
          <w:b/>
          <w:bCs/>
          <w:color w:val="0A1628"/>
          <w:sz w:val="28"/>
          <w:szCs w:val="28"/>
        </w:rPr>
        <w:t xml:space="preserve">5.6 RMA Board (Returns)</w:t>
      </w:r>
      <w:bookmarkEnd w:id="100037"/>
    </w:p>
    <w:p>
      <w:pPr>
        <w:keepNext/>
        <w:spacing w:after="60" w:before="160"/>
        <w:jc w:val="center"/>
      </w:pPr>
      <w:r>
        <w:drawing>
          <wp:inline distT="0" distB="0" distL="0" distR="0">
            <wp:extent cx="5457825" cy="307657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57825" cy="3076575"/>
                    </a:xfrm>
                    <a:prstGeom prst="rect">
                      <a:avLst/>
                    </a:prstGeom>
                  </pic:spPr>
                </pic:pic>
              </a:graphicData>
            </a:graphic>
          </wp:inline>
        </w:drawing>
      </w:r>
    </w:p>
    <w:p>
      <w:pPr>
        <w:pBdr>
          <w:top w:val="single" w:color="D5DDE7" w:sz="2" w:space="4"/>
        </w:pBdr>
        <w:spacing w:after="200"/>
        <w:jc w:val="center"/>
      </w:pPr>
      <w:r>
        <w:rPr>
          <w:rFonts w:ascii="Calibri" w:eastAsia="Microsoft YaHei"/>
          <w:i/>
          <w:iCs/>
          <w:color w:val="6878A0"/>
          <w:sz w:val="18"/>
          <w:szCs w:val="18"/>
        </w:rPr>
        <w:t xml:space="preserve">Exhibit 15. RMA board — 7-column Kanban with optimistic transitions and assignee chips</w:t>
      </w:r>
    </w:p>
    <w:p>
      <w:pPr>
        <w:pStyle w:val="Heading3"/>
        <w:spacing w:after="100" w:before="240"/>
      </w:pPr>
      <w:bookmarkStart w:id="100038" w:name="_Toc100038"/>
      <w:r>
        <w:rPr>
          <w:rFonts w:ascii="Calibri" w:eastAsia="SimHei"/>
          <w:b/>
          <w:bCs/>
          <w:color w:val="1A2B40"/>
          <w:sz w:val="24"/>
          <w:szCs w:val="24"/>
        </w:rPr>
        <w:t xml:space="preserve">Working a case</w:t>
      </w:r>
      <w:bookmarkEnd w:id="100038"/>
    </w:p>
    <w:p>
      <w:pPr>
        <w:pStyle w:val="ListParagraph"/>
        <w:numPr>
          <w:ilvl w:val="0"/>
          <w:numId w:val="11"/>
        </w:numPr>
        <w:spacing w:after="60" w:line="312"/>
      </w:pPr>
      <w:r>
        <w:rPr>
          <w:rFonts w:ascii="Calibri" w:eastAsia="Microsoft YaHei"/>
          <w:color w:val="1A2B40"/>
          <w:sz w:val="22"/>
          <w:szCs w:val="22"/>
        </w:rPr>
        <w:t xml:space="preserve">Cases arrive from the public RMA form as </w:t>
      </w:r>
      <w:r>
        <w:rPr>
          <w:rFonts w:ascii="Calibri" w:eastAsia="Microsoft YaHei"/>
          <w:b/>
          <w:bCs/>
          <w:color w:val="0A1628"/>
          <w:sz w:val="22"/>
          <w:szCs w:val="22"/>
        </w:rPr>
        <w:t xml:space="preserve">submitted</w:t>
      </w:r>
      <w:r>
        <w:rPr>
          <w:rFonts w:ascii="Calibri" w:eastAsia="Microsoft YaHei"/>
          <w:color w:val="1A2B40"/>
          <w:sz w:val="22"/>
          <w:szCs w:val="22"/>
        </w:rPr>
        <w:t xml:space="preserve">. The board defaults to a Kanban view — one column per state, oldest first, with card chips for age, SKU, serial and technician.</w:t>
      </w:r>
    </w:p>
    <w:p>
      <w:pPr>
        <w:pStyle w:val="ListParagraph"/>
        <w:numPr>
          <w:ilvl w:val="0"/>
          <w:numId w:val="11"/>
        </w:numPr>
        <w:spacing w:after="60" w:line="312"/>
      </w:pPr>
      <w:r>
        <w:rPr>
          <w:rFonts w:ascii="Calibri" w:eastAsia="Microsoft YaHei"/>
          <w:color w:val="1A2B40"/>
          <w:sz w:val="22"/>
          <w:szCs w:val="22"/>
        </w:rPr>
        <w:t xml:space="preserve">Move a case with the arrow buttons on its card (optimistic — the card jumps instantly and rolls back on server refusal). The detail panel offers the same transitions with a note and an </w:t>
      </w:r>
      <w:r>
        <w:rPr>
          <w:rFonts w:ascii="Calibri" w:eastAsia="Microsoft YaHei"/>
          <w:b/>
          <w:bCs/>
          <w:color w:val="0A1628"/>
          <w:sz w:val="22"/>
          <w:szCs w:val="22"/>
        </w:rPr>
        <w:t xml:space="preserve">Email customer</w:t>
      </w:r>
      <w:r>
        <w:rPr>
          <w:rFonts w:ascii="Calibri" w:eastAsia="Microsoft YaHei"/>
          <w:color w:val="1A2B40"/>
          <w:sz w:val="22"/>
          <w:szCs w:val="22"/>
        </w:rPr>
        <w:t xml:space="preserve"> checkbox that sends a status update through the mailer.</w:t>
      </w:r>
    </w:p>
    <w:p>
      <w:pPr>
        <w:pStyle w:val="ListParagraph"/>
        <w:numPr>
          <w:ilvl w:val="0"/>
          <w:numId w:val="11"/>
        </w:numPr>
        <w:spacing w:after="60" w:line="312"/>
      </w:pPr>
      <w:r>
        <w:rPr>
          <w:rFonts w:ascii="Calibri" w:eastAsia="Microsoft YaHei"/>
          <w:color w:val="1A2B40"/>
          <w:sz w:val="22"/>
          <w:szCs w:val="22"/>
        </w:rPr>
        <w:t xml:space="preserve">Open a case to see the customer, issue, warranty tier, the </w:t>
      </w:r>
      <w:r>
        <w:rPr>
          <w:rFonts w:ascii="Calibri" w:eastAsia="Microsoft YaHei"/>
          <w:b/>
          <w:bCs/>
          <w:color w:val="0A1628"/>
          <w:sz w:val="22"/>
          <w:szCs w:val="22"/>
        </w:rPr>
        <w:t xml:space="preserve">serial authenticity check</w:t>
      </w:r>
      <w:r>
        <w:rPr>
          <w:rFonts w:ascii="Calibri" w:eastAsia="Microsoft YaHei"/>
          <w:color w:val="1A2B40"/>
          <w:sz w:val="22"/>
          <w:szCs w:val="22"/>
        </w:rPr>
        <w:t xml:space="preserve"> card (verdict verified / not-in-registry / suspicious with registry SKU match and 24-hour distinct-source activity — the verify-before-service gate), the timeline of every transition, the assignment dropdown and a free-form </w:t>
      </w:r>
      <w:r>
        <w:rPr>
          <w:rFonts w:ascii="Calibri" w:eastAsia="Microsoft YaHei"/>
          <w:b/>
          <w:bCs/>
          <w:color w:val="0A1628"/>
          <w:sz w:val="22"/>
          <w:szCs w:val="22"/>
        </w:rPr>
        <w:t xml:space="preserve">Reply to customer</w:t>
      </w:r>
      <w:r>
        <w:rPr>
          <w:rFonts w:ascii="Calibri" w:eastAsia="Microsoft YaHei"/>
          <w:color w:val="1A2B40"/>
          <w:sz w:val="22"/>
          <w:szCs w:val="22"/>
        </w:rPr>
        <w:t xml:space="preserve"> composer.</w:t>
      </w:r>
    </w:p>
    <w:p>
      <w:pPr>
        <w:pStyle w:val="ListParagraph"/>
        <w:numPr>
          <w:ilvl w:val="0"/>
          <w:numId w:val="11"/>
        </w:numPr>
        <w:spacing w:after="60" w:line="312"/>
      </w:pPr>
      <w:r>
        <w:rPr>
          <w:rFonts w:ascii="Calibri" w:eastAsia="Microsoft YaHei"/>
          <w:color w:val="1A2B40"/>
          <w:sz w:val="22"/>
          <w:szCs w:val="22"/>
        </w:rPr>
        <w:t xml:space="preserve">Assign a technician; the chip follows the case across board and detail views.</w:t>
      </w:r>
    </w:p>
    <w:tbl>
      <w:tblPr>
        <w:tblW w:type="pct" w:w="5000"/>
        <w:tblBorders>
          <w:top w:val="none" w:color="FFFFFF" w:sz="0"/>
          <w:left w:val="single" w:color="0E9F7E" w:sz="16"/>
          <w:bottom w:val="none" w:color="FFFFFF" w:sz="0"/>
          <w:right w:val="none" w:color="FFFFFF" w:sz="0"/>
          <w:insideH w:val="single" w:color="auto" w:sz="4"/>
          <w:insideV w:val="single" w:color="auto" w:sz="4"/>
        </w:tblBorders>
        <w:tblLayout w:type="fixed"/>
      </w:tblPr>
      <w:tblGrid>
        <w:gridCol w:w="8788"/>
      </w:tblGrid>
      <w:tr>
        <w:tc>
          <w:tcPr>
            <w:shd w:fill="EDFAF6" w:val="clear"/>
            <w:tcMar>
              <w:top w:type="dxa" w:w="100"/>
              <w:left w:type="dxa" w:w="200"/>
              <w:bottom w:type="dxa" w:w="100"/>
              <w:right w:type="dxa" w:w="160"/>
            </w:tcMar>
          </w:tcPr>
          <w:p>
            <w:pPr>
              <w:spacing w:line="300"/>
            </w:pPr>
            <w:r>
              <w:rPr>
                <w:rFonts w:ascii="Calibri" w:eastAsia="Microsoft YaHei"/>
                <w:b/>
                <w:bCs/>
                <w:color w:val="0E9F7E"/>
                <w:sz w:val="20"/>
                <w:szCs w:val="20"/>
              </w:rPr>
              <w:t xml:space="preserve">NOTE — </w:t>
            </w:r>
            <w:r>
              <w:rPr>
                <w:rFonts w:ascii="Calibri" w:eastAsia="Microsoft YaHei"/>
                <w:color w:val="1A2B40"/>
                <w:sz w:val="20"/>
                <w:szCs w:val="20"/>
              </w:rPr>
              <w:t xml:space="preserve">The serial-authenticity card is the operational half of brand protection: it joins the RMA's serial to the factory registry and the last 24 hours of public SN-checks using the same &gt;5-distinct-sources rule as the anomaly scan, so warranty service is never approved on a leaked or counterfeit serial without the team seeing it.</w:t>
            </w:r>
          </w:p>
        </w:tc>
      </w:tr>
    </w:tbl>
    <w:p>
      <w:pPr>
        <w:pStyle w:val="Heading2"/>
        <w:spacing w:after="120" w:before="300"/>
      </w:pPr>
      <w:bookmarkStart w:id="100039" w:name="_Toc100039"/>
      <w:r>
        <w:rPr>
          <w:rFonts w:ascii="Calibri" w:eastAsia="SimHei"/>
          <w:b/>
          <w:bCs/>
          <w:color w:val="0A1628"/>
          <w:sz w:val="28"/>
          <w:szCs w:val="28"/>
        </w:rPr>
        <w:t xml:space="preserve">5.7 Careers (Postings &amp; Applications)</w:t>
      </w:r>
      <w:bookmarkEnd w:id="100039"/>
    </w:p>
    <w:p>
      <w:pPr>
        <w:spacing w:after="120" w:line="312"/>
        <w:jc w:val="both"/>
      </w:pPr>
      <w:r>
        <w:rPr>
          <w:rFonts w:ascii="Calibri" w:eastAsia="Microsoft YaHei"/>
          <w:color w:val="1A2B40"/>
          <w:sz w:val="22"/>
          <w:szCs w:val="22"/>
        </w:rPr>
        <w:t xml:space="preserve">The Careers module manages job postings (department, location, type, seniority, apply-by deadline with red/amber closing warnings, salary band where legally required, equal-opportunity statement, markdown description whose first paragraph ships to the public careers page as the summary) and the applications inbox (pipeline new → in review → resolved, per-role filter, candidate drill-down with the full payload and a one-click reply that emails the candidate and moves new applications into review). Analytics strip: live postings, new applications, top roles by applicant count, 14-day arrivals.</w:t>
      </w:r>
    </w:p>
    <w:p>
      <w:pPr>
        <w:pStyle w:val="Heading2"/>
        <w:spacing w:after="120" w:before="300"/>
      </w:pPr>
      <w:bookmarkStart w:id="100040" w:name="_Toc100040"/>
      <w:r>
        <w:rPr>
          <w:rFonts w:ascii="Calibri" w:eastAsia="SimHei"/>
          <w:b/>
          <w:bCs/>
          <w:color w:val="0A1628"/>
          <w:sz w:val="28"/>
          <w:szCs w:val="28"/>
        </w:rPr>
        <w:t xml:space="preserve">5.8 SN-check &amp; Serials (Anti-Counterfeit)</w:t>
      </w:r>
      <w:bookmarkEnd w:id="100040"/>
    </w:p>
    <w:p>
      <w:pPr>
        <w:keepNext/>
        <w:spacing w:after="60" w:before="160"/>
        <w:jc w:val="center"/>
      </w:pPr>
      <w:r>
        <w:drawing>
          <wp:inline distT="0" distB="0" distL="0" distR="0">
            <wp:extent cx="5457825" cy="307657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57825" cy="3076575"/>
                    </a:xfrm>
                    <a:prstGeom prst="rect">
                      <a:avLst/>
                    </a:prstGeom>
                  </pic:spPr>
                </pic:pic>
              </a:graphicData>
            </a:graphic>
          </wp:inline>
        </w:drawing>
      </w:r>
    </w:p>
    <w:p>
      <w:pPr>
        <w:pBdr>
          <w:top w:val="single" w:color="D5DDE7" w:sz="2" w:space="4"/>
        </w:pBdr>
        <w:spacing w:after="200"/>
        <w:jc w:val="center"/>
      </w:pPr>
      <w:r>
        <w:rPr>
          <w:rFonts w:ascii="Calibri" w:eastAsia="Microsoft YaHei"/>
          <w:i/>
          <w:iCs/>
          <w:color w:val="6878A0"/>
          <w:sz w:val="18"/>
          <w:szCs w:val="18"/>
        </w:rPr>
        <w:t xml:space="preserve">Exhibit 16. SN-check &amp; serials — registry analytics, quick verify, drill-down and import</w:t>
      </w:r>
    </w:p>
    <w:p>
      <w:pPr>
        <w:pStyle w:val="Heading3"/>
        <w:spacing w:after="100" w:before="240"/>
      </w:pPr>
      <w:bookmarkStart w:id="100041" w:name="_Toc100041"/>
      <w:r>
        <w:rPr>
          <w:rFonts w:ascii="Calibri" w:eastAsia="SimHei"/>
          <w:b/>
          <w:bCs/>
          <w:color w:val="1A2B40"/>
          <w:sz w:val="24"/>
          <w:szCs w:val="24"/>
        </w:rPr>
        <w:t xml:space="preserve">The brand-protection loop</w:t>
      </w:r>
      <w:bookmarkEnd w:id="100041"/>
    </w:p>
    <w:p>
      <w:pPr>
        <w:pStyle w:val="ListParagraph"/>
        <w:numPr>
          <w:ilvl w:val="0"/>
          <w:numId w:val="12"/>
        </w:numPr>
        <w:spacing w:after="60" w:line="312"/>
      </w:pPr>
      <w:r>
        <w:rPr>
          <w:rFonts w:ascii="Calibri" w:eastAsia="Microsoft YaHei"/>
          <w:color w:val="1A2B40"/>
          <w:sz w:val="22"/>
          <w:szCs w:val="22"/>
        </w:rPr>
        <w:t xml:space="preserve">Import factory serials: </w:t>
      </w:r>
      <w:r>
        <w:rPr>
          <w:rFonts w:ascii="Calibri" w:eastAsia="Microsoft YaHei"/>
          <w:b/>
          <w:bCs/>
          <w:color w:val="0A1628"/>
          <w:sz w:val="22"/>
          <w:szCs w:val="22"/>
        </w:rPr>
        <w:t xml:space="preserve">CSV import</w:t>
      </w:r>
      <w:r>
        <w:rPr>
          <w:rFonts w:ascii="Calibri" w:eastAsia="Microsoft YaHei"/>
          <w:color w:val="1A2B40"/>
          <w:sz w:val="22"/>
          <w:szCs w:val="22"/>
        </w:rPr>
        <w:t xml:space="preserve"> accepts production-run manifests (header serial,sku,manufacturedAt,batch) with a mandatory dry-run row report; rows upsert by serial. File upload or paste both work.</w:t>
      </w:r>
    </w:p>
    <w:p>
      <w:pPr>
        <w:pStyle w:val="ListParagraph"/>
        <w:numPr>
          <w:ilvl w:val="0"/>
          <w:numId w:val="12"/>
        </w:numPr>
        <w:spacing w:after="60" w:line="312"/>
      </w:pPr>
      <w:r>
        <w:rPr>
          <w:rFonts w:ascii="Calibri" w:eastAsia="Microsoft YaHei"/>
          <w:color w:val="1A2B40"/>
          <w:sz w:val="22"/>
          <w:szCs w:val="22"/>
        </w:rPr>
        <w:t xml:space="preserve">Monitor the registry: the analytics strip tracks registry size, checks in 24h/7d, valid rate, top SKUs and countries by verification volume. </w:t>
      </w:r>
      <w:r>
        <w:rPr>
          <w:rFonts w:ascii="Calibri" w:eastAsia="Microsoft YaHei"/>
          <w:b/>
          <w:bCs/>
          <w:color w:val="0A1628"/>
          <w:sz w:val="22"/>
          <w:szCs w:val="22"/>
        </w:rPr>
        <w:t xml:space="preserve">Quick verify</w:t>
      </w:r>
      <w:r>
        <w:rPr>
          <w:rFonts w:ascii="Calibri" w:eastAsia="Microsoft YaHei"/>
          <w:color w:val="1A2B40"/>
          <w:sz w:val="22"/>
          <w:szCs w:val="22"/>
        </w:rPr>
        <w:t xml:space="preserve"> runs the real public check on any serial without leaving the console.</w:t>
      </w:r>
    </w:p>
    <w:p>
      <w:pPr>
        <w:pStyle w:val="ListParagraph"/>
        <w:numPr>
          <w:ilvl w:val="0"/>
          <w:numId w:val="12"/>
        </w:numPr>
        <w:spacing w:after="60" w:line="312"/>
      </w:pPr>
      <w:r>
        <w:rPr>
          <w:rFonts w:ascii="Calibri" w:eastAsia="Microsoft YaHei"/>
          <w:color w:val="1A2B40"/>
          <w:sz w:val="22"/>
          <w:szCs w:val="22"/>
        </w:rPr>
        <w:t xml:space="preserve">Investigate a serial: click any row (or Drill down from quick verify) for the registry data, 24-hour distinct-source activity and the full verification log with verdict (verified / unknown / suspicious).</w:t>
      </w:r>
    </w:p>
    <w:p>
      <w:pPr>
        <w:pStyle w:val="ListParagraph"/>
        <w:numPr>
          <w:ilvl w:val="0"/>
          <w:numId w:val="12"/>
        </w:numPr>
        <w:spacing w:after="60" w:line="312"/>
      </w:pPr>
      <w:r>
        <w:rPr>
          <w:rFonts w:ascii="Calibri" w:eastAsia="Microsoft YaHei"/>
          <w:color w:val="1A2B40"/>
          <w:sz w:val="22"/>
          <w:szCs w:val="22"/>
        </w:rPr>
        <w:t xml:space="preserve">Run the </w:t>
      </w:r>
      <w:r>
        <w:rPr>
          <w:rFonts w:ascii="Calibri" w:eastAsia="Microsoft YaHei"/>
          <w:b/>
          <w:bCs/>
          <w:color w:val="0A1628"/>
          <w:sz w:val="22"/>
          <w:szCs w:val="22"/>
        </w:rPr>
        <w:t xml:space="preserve">Anomaly scan</w:t>
      </w:r>
      <w:r>
        <w:rPr>
          <w:rFonts w:ascii="Calibri" w:eastAsia="Microsoft YaHei"/>
          <w:color w:val="1A2B40"/>
          <w:sz w:val="22"/>
          <w:szCs w:val="22"/>
        </w:rPr>
        <w:t xml:space="preserve"> for serials verified from more than N distinct IPs or countries in 24 hours — the distribution signature of leaked or counterfeit serials — and email the ops alert when the list is non-empty.</w:t>
      </w:r>
    </w:p>
    <w:p>
      <w:pPr>
        <w:pStyle w:val="ListParagraph"/>
        <w:numPr>
          <w:ilvl w:val="0"/>
          <w:numId w:val="12"/>
        </w:numPr>
        <w:spacing w:after="60" w:line="312"/>
      </w:pPr>
      <w:r>
        <w:rPr>
          <w:rFonts w:ascii="Calibri" w:eastAsia="Microsoft YaHei"/>
          <w:color w:val="1A2B40"/>
          <w:sz w:val="22"/>
          <w:szCs w:val="22"/>
        </w:rPr>
        <w:t xml:space="preserve">Registry lifecycle: delete a serial (editor+) when it must stop verifying; the verification history is preserved for investigation.</w:t>
      </w:r>
    </w:p>
    <w:p>
      <w:pPr>
        <w:pStyle w:val="Heading2"/>
        <w:spacing w:after="120" w:before="300"/>
      </w:pPr>
      <w:bookmarkStart w:id="100042" w:name="_Toc100042"/>
      <w:r>
        <w:rPr>
          <w:rFonts w:ascii="Calibri" w:eastAsia="SimHei"/>
          <w:b/>
          <w:bCs/>
          <w:color w:val="0A1628"/>
          <w:sz w:val="28"/>
          <w:szCs w:val="28"/>
        </w:rPr>
        <w:t xml:space="preserve">5.9 Partners &amp; Channel</w:t>
      </w:r>
      <w:bookmarkEnd w:id="100042"/>
    </w:p>
    <w:p>
      <w:pPr>
        <w:keepNext/>
        <w:spacing w:after="60" w:before="160"/>
        <w:jc w:val="center"/>
      </w:pPr>
      <w:r>
        <w:drawing>
          <wp:inline distT="0" distB="0" distL="0" distR="0">
            <wp:extent cx="5457825" cy="307657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57825" cy="3076575"/>
                    </a:xfrm>
                    <a:prstGeom prst="rect">
                      <a:avLst/>
                    </a:prstGeom>
                  </pic:spPr>
                </pic:pic>
              </a:graphicData>
            </a:graphic>
          </wp:inline>
        </w:drawing>
      </w:r>
    </w:p>
    <w:p>
      <w:pPr>
        <w:pBdr>
          <w:top w:val="single" w:color="D5DDE7" w:sz="2" w:space="4"/>
        </w:pBdr>
        <w:spacing w:after="200"/>
        <w:jc w:val="center"/>
      </w:pPr>
      <w:r>
        <w:rPr>
          <w:rFonts w:ascii="Calibri" w:eastAsia="Microsoft YaHei"/>
          <w:i/>
          <w:iCs/>
          <w:color w:val="6878A0"/>
          <w:sz w:val="18"/>
          <w:szCs w:val="18"/>
        </w:rPr>
        <w:t xml:space="preserve">Exhibit 17. Partners &amp; channel — portal organizations and the where-to-buy directory</w:t>
      </w:r>
    </w:p>
    <w:p>
      <w:pPr>
        <w:pStyle w:val="Heading3"/>
        <w:spacing w:after="100" w:before="240"/>
      </w:pPr>
      <w:bookmarkStart w:id="100043" w:name="_Toc100043"/>
      <w:r>
        <w:rPr>
          <w:rFonts w:ascii="Calibri" w:eastAsia="SimHei"/>
          <w:b/>
          <w:bCs/>
          <w:color w:val="1A2B40"/>
          <w:sz w:val="24"/>
          <w:szCs w:val="24"/>
        </w:rPr>
        <w:t xml:space="preserve">Portal organizations</w:t>
      </w:r>
      <w:bookmarkEnd w:id="100043"/>
    </w:p>
    <w:p>
      <w:pPr>
        <w:spacing w:after="120" w:line="312"/>
        <w:jc w:val="both"/>
      </w:pPr>
      <w:r>
        <w:rPr>
          <w:rFonts w:ascii="Calibri" w:eastAsia="Microsoft YaHei"/>
          <w:color w:val="1A2B40"/>
          <w:sz w:val="22"/>
          <w:szCs w:val="22"/>
        </w:rPr>
        <w:t xml:space="preserve">The first tab manages channel organizations (distributor / OEM / SI): create with country and contact email, activate or suspend, and open the detail drawer to add member accounts (staff sign-in emails), upload gated assets (price files, MDF documents, resources with per-type visibility) and delete when empty. Partners authenticate on the public site and see exactly the assets their organization is entitled to.</w:t>
      </w:r>
    </w:p>
    <w:p>
      <w:pPr>
        <w:pStyle w:val="Heading3"/>
        <w:spacing w:after="100" w:before="240"/>
      </w:pPr>
      <w:bookmarkStart w:id="100044" w:name="_Toc100044"/>
      <w:r>
        <w:rPr>
          <w:rFonts w:ascii="Calibri" w:eastAsia="SimHei"/>
          <w:b/>
          <w:bCs/>
          <w:color w:val="1A2B40"/>
          <w:sz w:val="24"/>
          <w:szCs w:val="24"/>
        </w:rPr>
        <w:t xml:space="preserve">Where-to-Buy directory</w:t>
      </w:r>
      <w:bookmarkEnd w:id="100044"/>
    </w:p>
    <w:p>
      <w:pPr>
        <w:spacing w:after="120" w:line="312"/>
        <w:jc w:val="both"/>
      </w:pPr>
      <w:r>
        <w:rPr>
          <w:rFonts w:ascii="Calibri" w:eastAsia="Microsoft YaHei"/>
          <w:color w:val="1A2B40"/>
          <w:sz w:val="22"/>
          <w:szCs w:val="22"/>
        </w:rPr>
        <w:t xml:space="preserve">The second tab is the public locator's source of truth: distributor entries with card title, distributor name, region (matching the site's filter chips), channel status (hub / authorized / expanding / seeking), cities, contact and card note — plus verified online marketplace listings. Search and region/status filters narrow the list; batch CSV import (dry-run + upsert by name+country) handles channel manifests. Published entries flow to the Where-to-Buy page through the content export.</w:t>
      </w:r>
    </w:p>
    <w:p>
      <w:pPr>
        <w:pStyle w:val="Heading2"/>
        <w:spacing w:after="120" w:before="300"/>
      </w:pPr>
      <w:bookmarkStart w:id="100045" w:name="_Toc100045"/>
      <w:r>
        <w:rPr>
          <w:rFonts w:ascii="Calibri" w:eastAsia="SimHei"/>
          <w:b/>
          <w:bCs/>
          <w:color w:val="0A1628"/>
          <w:sz w:val="28"/>
          <w:szCs w:val="28"/>
        </w:rPr>
        <w:t xml:space="preserve">5.10 Media Library (DAM)</w:t>
      </w:r>
      <w:bookmarkEnd w:id="100045"/>
    </w:p>
    <w:p>
      <w:pPr>
        <w:keepNext/>
        <w:spacing w:after="60" w:before="160"/>
        <w:jc w:val="center"/>
      </w:pPr>
      <w:r>
        <w:drawing>
          <wp:inline distT="0" distB="0" distL="0" distR="0">
            <wp:extent cx="5457825" cy="307657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457825" cy="3076575"/>
                    </a:xfrm>
                    <a:prstGeom prst="rect">
                      <a:avLst/>
                    </a:prstGeom>
                  </pic:spPr>
                </pic:pic>
              </a:graphicData>
            </a:graphic>
          </wp:inline>
        </w:drawing>
      </w:r>
    </w:p>
    <w:p>
      <w:pPr>
        <w:pBdr>
          <w:top w:val="single" w:color="D5DDE7" w:sz="2" w:space="4"/>
        </w:pBdr>
        <w:spacing w:after="200"/>
        <w:jc w:val="center"/>
      </w:pPr>
      <w:r>
        <w:rPr>
          <w:rFonts w:ascii="Calibri" w:eastAsia="Microsoft YaHei"/>
          <w:i/>
          <w:iCs/>
          <w:color w:val="6878A0"/>
          <w:sz w:val="18"/>
          <w:szCs w:val="18"/>
        </w:rPr>
        <w:t xml:space="preserve">Exhibit 18. Media library — folder tree, analytics strip, search/kind filters and asset cards</w:t>
      </w:r>
    </w:p>
    <w:p>
      <w:pPr>
        <w:pStyle w:val="ListParagraph"/>
        <w:numPr>
          <w:ilvl w:val="0"/>
          <w:numId w:val="13"/>
        </w:numPr>
        <w:spacing w:after="60" w:line="312"/>
      </w:pPr>
      <w:r>
        <w:rPr>
          <w:rFonts w:ascii="Calibri" w:eastAsia="Microsoft YaHei"/>
          <w:color w:val="1A2B40"/>
          <w:sz w:val="22"/>
          <w:szCs w:val="22"/>
        </w:rPr>
        <w:t xml:space="preserve">Upload: pick a folder (the tree creates/renames/deletes; deleting never orphans assets), choose a file, provide the required </w:t>
      </w:r>
      <w:r>
        <w:rPr>
          <w:rFonts w:ascii="Calibri" w:eastAsia="Microsoft YaHei"/>
          <w:b/>
          <w:bCs/>
          <w:color w:val="0A1628"/>
          <w:sz w:val="22"/>
          <w:szCs w:val="22"/>
        </w:rPr>
        <w:t xml:space="preserve">alt text</w:t>
      </w:r>
      <w:r>
        <w:rPr>
          <w:rFonts w:ascii="Calibri" w:eastAsia="Microsoft YaHei"/>
          <w:color w:val="1A2B40"/>
          <w:sz w:val="22"/>
          <w:szCs w:val="22"/>
        </w:rPr>
        <w:t xml:space="preserve"> (accessibility), press Upload. Raster images automatically derive responsive variants (thumb/card/hero/full WebP + hero AVIF).</w:t>
      </w:r>
      <w:r>
        <w:rPr>
          <w:rFonts w:ascii="Calibri" w:eastAsia="Microsoft YaHei"/>
          <w:color w:val="1A2B40"/>
          <w:sz w:val="22"/>
          <w:szCs w:val="22"/>
        </w:rPr>
        <w:t xml:space="preserve"> </w:t>
      </w:r>
      <w:r>
        <w:rPr>
          <w:rFonts w:ascii="Calibri" w:eastAsia="Microsoft YaHei"/>
          <w:b/>
          <w:bCs/>
          <w:color w:val="0A1628"/>
          <w:sz w:val="22"/>
          <w:szCs w:val="22"/>
        </w:rPr>
        <w:t xml:space="preserve">Bulk upload</w:t>
      </w:r>
      <w:r>
        <w:rPr>
          <w:rFonts w:ascii="Calibri" w:eastAsia="Microsoft YaHei"/>
          <w:color w:val="1A2B40"/>
          <w:sz w:val="22"/>
          <w:szCs w:val="22"/>
        </w:rPr>
        <w:t xml:space="preserve"> accepts many files at once with alt text derived from filenames for later review.</w:t>
      </w:r>
    </w:p>
    <w:p>
      <w:pPr>
        <w:pStyle w:val="ListParagraph"/>
        <w:numPr>
          <w:ilvl w:val="0"/>
          <w:numId w:val="13"/>
        </w:numPr>
        <w:spacing w:after="60" w:line="312"/>
      </w:pPr>
      <w:r>
        <w:rPr>
          <w:rFonts w:ascii="Calibri" w:eastAsia="Microsoft YaHei"/>
          <w:color w:val="1A2B40"/>
          <w:sz w:val="22"/>
          <w:szCs w:val="22"/>
        </w:rPr>
        <w:t xml:space="preserve">Find: search across key and alt text; filter by kind or missing-alt. The analytics strip reports totals by kind, alt compliance, variant coverage and storage footprint.</w:t>
      </w:r>
    </w:p>
    <w:p>
      <w:pPr>
        <w:pStyle w:val="ListParagraph"/>
        <w:numPr>
          <w:ilvl w:val="0"/>
          <w:numId w:val="13"/>
        </w:numPr>
        <w:spacing w:after="60" w:line="312"/>
      </w:pPr>
      <w:r>
        <w:rPr>
          <w:rFonts w:ascii="Calibri" w:eastAsia="Microsoft YaHei"/>
          <w:color w:val="1A2B40"/>
          <w:sz w:val="22"/>
          <w:szCs w:val="22"/>
        </w:rPr>
        <w:t xml:space="preserve">Use: copy the admin URL (authenticated) or the public URL (site-usable) from any card, or open the </w:t>
      </w:r>
      <w:r>
        <w:rPr>
          <w:rFonts w:ascii="Calibri" w:eastAsia="Microsoft YaHei"/>
          <w:b/>
          <w:bCs/>
          <w:color w:val="0A1628"/>
          <w:sz w:val="22"/>
          <w:szCs w:val="22"/>
        </w:rPr>
        <w:t xml:space="preserve">usage drawer</w:t>
      </w:r>
      <w:r>
        <w:rPr>
          <w:rFonts w:ascii="Calibri" w:eastAsia="Microsoft YaHei"/>
          <w:color w:val="1A2B40"/>
          <w:sz w:val="22"/>
          <w:szCs w:val="22"/>
        </w:rPr>
        <w:t xml:space="preserve"> (the Ⓢ button) to see exactly which products, articles and news posts reference the asset before deleting.</w:t>
      </w:r>
    </w:p>
    <w:p>
      <w:pPr>
        <w:pStyle w:val="ListParagraph"/>
        <w:numPr>
          <w:ilvl w:val="0"/>
          <w:numId w:val="13"/>
        </w:numPr>
        <w:spacing w:after="60" w:line="312"/>
      </w:pPr>
      <w:r>
        <w:rPr>
          <w:rFonts w:ascii="Calibri" w:eastAsia="Microsoft YaHei"/>
          <w:color w:val="1A2B40"/>
          <w:sz w:val="22"/>
          <w:szCs w:val="22"/>
        </w:rPr>
        <w:t xml:space="preserve">Govern: low-resolution masters (&lt;1200px) are flagged per the brand guideline; deletes are admin-only and blocked while an asset is referenced.</w:t>
      </w:r>
    </w:p>
    <w:p>
      <w:pPr>
        <w:pStyle w:val="Heading2"/>
        <w:spacing w:after="120" w:before="300"/>
      </w:pPr>
      <w:bookmarkStart w:id="100046" w:name="_Toc100046"/>
      <w:r>
        <w:rPr>
          <w:rFonts w:ascii="Calibri" w:eastAsia="SimHei"/>
          <w:b/>
          <w:bCs/>
          <w:color w:val="0A1628"/>
          <w:sz w:val="28"/>
          <w:szCs w:val="28"/>
        </w:rPr>
        <w:t xml:space="preserve">5.11 Translation Studio</w:t>
      </w:r>
      <w:bookmarkEnd w:id="100046"/>
    </w:p>
    <w:p>
      <w:pPr>
        <w:spacing w:after="120" w:line="312"/>
        <w:jc w:val="both"/>
      </w:pPr>
      <w:r>
        <w:rPr>
          <w:rFonts w:ascii="Calibri" w:eastAsia="Microsoft YaHei"/>
          <w:color w:val="1A2B40"/>
          <w:sz w:val="22"/>
          <w:szCs w:val="22"/>
        </w:rPr>
        <w:t xml:space="preserve">Nine locales are managed as string keys grouped by namespace with import/export for CAT-tool round-trips. The coverage heatmap (also shown in Content Studio's analytics) highlights key-exact coverage versus English so localization gaps are visible at a glance. Locale activation (which locales receive hreflang alternates) is a super_admin setting in Settings.</w:t>
      </w:r>
    </w:p>
    <w:p>
      <w:pPr>
        <w:pStyle w:val="Heading2"/>
        <w:spacing w:after="120" w:before="300"/>
      </w:pPr>
      <w:bookmarkStart w:id="100047" w:name="_Toc100047"/>
      <w:r>
        <w:rPr>
          <w:rFonts w:ascii="Calibri" w:eastAsia="SimHei"/>
          <w:b/>
          <w:bCs/>
          <w:color w:val="0A1628"/>
          <w:sz w:val="28"/>
          <w:szCs w:val="28"/>
        </w:rPr>
        <w:t xml:space="preserve">5.12 Users &amp; Roles</w:t>
      </w:r>
      <w:bookmarkEnd w:id="100047"/>
    </w:p>
    <w:p>
      <w:pPr>
        <w:keepNext/>
        <w:spacing w:after="60" w:before="160"/>
        <w:jc w:val="center"/>
      </w:pPr>
      <w:r>
        <w:drawing>
          <wp:inline distT="0" distB="0" distL="0" distR="0">
            <wp:extent cx="5457825" cy="307657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457825" cy="3076575"/>
                    </a:xfrm>
                    <a:prstGeom prst="rect">
                      <a:avLst/>
                    </a:prstGeom>
                  </pic:spPr>
                </pic:pic>
              </a:graphicData>
            </a:graphic>
          </wp:inline>
        </w:drawing>
      </w:r>
    </w:p>
    <w:p>
      <w:pPr>
        <w:pBdr>
          <w:top w:val="single" w:color="D5DDE7" w:sz="2" w:space="4"/>
        </w:pBdr>
        <w:spacing w:after="200"/>
        <w:jc w:val="center"/>
      </w:pPr>
      <w:r>
        <w:rPr>
          <w:rFonts w:ascii="Calibri" w:eastAsia="Microsoft YaHei"/>
          <w:i/>
          <w:iCs/>
          <w:color w:val="6878A0"/>
          <w:sz w:val="18"/>
          <w:szCs w:val="18"/>
        </w:rPr>
        <w:t xml:space="preserve">Exhibit 19. Users &amp; Roles — directory with security analytics strip and per-user profile drawer</w:t>
      </w:r>
    </w:p>
    <w:p>
      <w:pPr>
        <w:spacing w:after="120" w:line="312"/>
        <w:jc w:val="both"/>
      </w:pPr>
      <w:r>
        <w:rPr>
          <w:rFonts w:ascii="Calibri" w:eastAsia="Microsoft YaHei"/>
          <w:color w:val="1A2B40"/>
          <w:sz w:val="22"/>
          <w:szCs w:val="22"/>
        </w:rPr>
        <w:t xml:space="preserve">The super_admin-only module lists staff with search, role filter and pagination; invites new staff by email (role preset, optional initial password); changes roles (with a governance invariant preserving at least one active super_admin, race-safe under concurrent changes); revokes sessions (immediate logout); and suspends accounts with reason and optional expiry. The security analytics strip reports role distribution, MFA coverage, active session count and suspended accounts. Click any row for the per-user security profile: MFA state, live sessions and that account's last twenty audited actions.</w:t>
      </w:r>
    </w:p>
    <w:p>
      <w:pPr>
        <w:pStyle w:val="Heading2"/>
        <w:spacing w:after="120" w:before="300"/>
      </w:pPr>
      <w:bookmarkStart w:id="100048" w:name="_Toc100048"/>
      <w:r>
        <w:rPr>
          <w:rFonts w:ascii="Calibri" w:eastAsia="SimHei"/>
          <w:b/>
          <w:bCs/>
          <w:color w:val="0A1628"/>
          <w:sz w:val="28"/>
          <w:szCs w:val="28"/>
        </w:rPr>
        <w:t xml:space="preserve">5.13 Audit Log</w:t>
      </w:r>
      <w:bookmarkEnd w:id="100048"/>
    </w:p>
    <w:p>
      <w:pPr>
        <w:spacing w:after="120" w:line="312"/>
        <w:jc w:val="both"/>
      </w:pPr>
      <w:r>
        <w:rPr>
          <w:rFonts w:ascii="Calibri" w:eastAsia="Microsoft YaHei"/>
          <w:color w:val="1A2B40"/>
          <w:sz w:val="22"/>
          <w:szCs w:val="22"/>
        </w:rPr>
        <w:t xml:space="preserve">Every mutation in every module lands here: actor, action, entity, entity id, request id, IP and timestamp, filterable by all of them. Retention is 12 months by default (configurable via environment). Use it to answer “who changed this price” or “what did this operator do” questions; the per-user view in Users &amp; Roles is the same data scoped to one account.</w:t>
      </w:r>
    </w:p>
    <w:p>
      <w:pPr>
        <w:pStyle w:val="Heading2"/>
        <w:spacing w:after="120" w:before="300"/>
      </w:pPr>
      <w:bookmarkStart w:id="100049" w:name="_Toc100049"/>
      <w:r>
        <w:rPr>
          <w:rFonts w:ascii="Calibri" w:eastAsia="SimHei"/>
          <w:b/>
          <w:bCs/>
          <w:color w:val="0A1628"/>
          <w:sz w:val="28"/>
          <w:szCs w:val="28"/>
        </w:rPr>
        <w:t xml:space="preserve">5.14 Settings</w:t>
      </w:r>
      <w:bookmarkEnd w:id="100049"/>
    </w:p>
    <w:p>
      <w:pPr>
        <w:keepNext/>
        <w:spacing w:after="60" w:before="160"/>
        <w:jc w:val="center"/>
      </w:pPr>
      <w:r>
        <w:drawing>
          <wp:inline distT="0" distB="0" distL="0" distR="0">
            <wp:extent cx="5457825" cy="307657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457825" cy="3076575"/>
                    </a:xfrm>
                    <a:prstGeom prst="rect">
                      <a:avLst/>
                    </a:prstGeom>
                  </pic:spPr>
                </pic:pic>
              </a:graphicData>
            </a:graphic>
          </wp:inline>
        </w:drawing>
      </w:r>
    </w:p>
    <w:p>
      <w:pPr>
        <w:pBdr>
          <w:top w:val="single" w:color="D5DDE7" w:sz="2" w:space="4"/>
        </w:pBdr>
        <w:spacing w:after="200"/>
        <w:jc w:val="center"/>
      </w:pPr>
      <w:r>
        <w:rPr>
          <w:rFonts w:ascii="Calibri" w:eastAsia="Microsoft YaHei"/>
          <w:i/>
          <w:iCs/>
          <w:color w:val="6878A0"/>
          <w:sz w:val="18"/>
          <w:szCs w:val="18"/>
        </w:rPr>
        <w:t xml:space="preserve">Exhibit 20. Settings — redirects manager, visual menu builder and locales</w:t>
      </w:r>
    </w:p>
    <w:p>
      <w:pPr>
        <w:pStyle w:val="ListParagraph"/>
        <w:numPr>
          <w:ilvl w:val="0"/>
          <w:numId w:val="14"/>
        </w:numPr>
        <w:spacing w:after="60" w:line="312"/>
      </w:pPr>
      <w:r>
        <w:rPr>
          <w:rFonts w:ascii="Calibri" w:eastAsia="Microsoft YaHei"/>
          <w:b/>
          <w:bCs/>
          <w:color w:val="0A1628"/>
          <w:sz w:val="22"/>
          <w:szCs w:val="22"/>
        </w:rPr>
        <w:t xml:space="preserve">Redirects</w:t>
      </w:r>
      <w:r>
        <w:rPr>
          <w:rFonts w:ascii="Calibri" w:eastAsia="Microsoft YaHei"/>
          <w:color w:val="1A2B40"/>
          <w:sz w:val="22"/>
          <w:szCs w:val="22"/>
        </w:rPr>
        <w:t xml:space="preserve"> — add from/to paths with 301/302/308 semantics; client-side validation (leading slash, http(s) targets, source ≠ destination), search, count and a live test link that opens the source path to watch it redirect.</w:t>
      </w:r>
    </w:p>
    <w:p>
      <w:pPr>
        <w:pStyle w:val="ListParagraph"/>
        <w:numPr>
          <w:ilvl w:val="0"/>
          <w:numId w:val="14"/>
        </w:numPr>
        <w:spacing w:after="60" w:line="312"/>
      </w:pPr>
      <w:r>
        <w:rPr>
          <w:rFonts w:ascii="Calibri" w:eastAsia="Microsoft YaHei"/>
          <w:b/>
          <w:bCs/>
          <w:color w:val="0A1628"/>
          <w:sz w:val="22"/>
          <w:szCs w:val="22"/>
        </w:rPr>
        <w:t xml:space="preserve">Menus</w:t>
      </w:r>
      <w:r>
        <w:rPr>
          <w:rFonts w:ascii="Calibri" w:eastAsia="Microsoft YaHei"/>
          <w:color w:val="1A2B40"/>
          <w:sz w:val="22"/>
          <w:szCs w:val="22"/>
        </w:rPr>
        <w:t xml:space="preserve"> — a visual builder editing the site menus document: per-group label/URL rows with add/remove/reorder, new-group creation and a JSON escape hatch for power users; changes save atomically with dirty-state tracking.</w:t>
      </w:r>
    </w:p>
    <w:p>
      <w:pPr>
        <w:pStyle w:val="ListParagraph"/>
        <w:numPr>
          <w:ilvl w:val="0"/>
          <w:numId w:val="14"/>
        </w:numPr>
        <w:spacing w:after="60" w:line="312"/>
      </w:pPr>
      <w:r>
        <w:rPr>
          <w:rFonts w:ascii="Calibri" w:eastAsia="Microsoft YaHei"/>
          <w:b/>
          <w:bCs/>
          <w:color w:val="0A1628"/>
          <w:sz w:val="22"/>
          <w:szCs w:val="22"/>
        </w:rPr>
        <w:t xml:space="preserve">Locales</w:t>
      </w:r>
      <w:r>
        <w:rPr>
          <w:rFonts w:ascii="Calibri" w:eastAsia="Microsoft YaHei"/>
          <w:color w:val="1A2B40"/>
          <w:sz w:val="22"/>
          <w:szCs w:val="22"/>
        </w:rPr>
        <w:t xml:space="preserve"> — the nine-locale registry with search and activation toggles (super_admin); active locales receive hreflang alternates in the site build.</w:t>
      </w:r>
    </w:p>
    <w:p>
      <w:pPr>
        <w:pStyle w:val="Heading1"/>
        <w:spacing w:after="160" w:before="400"/>
      </w:pPr>
      <w:bookmarkStart w:id="100050" w:name="_Toc100050"/>
      <w:r>
        <w:rPr>
          <w:rFonts w:ascii="Calibri" w:eastAsia="SimHei"/>
          <w:b/>
          <w:bCs/>
          <w:color w:val="0A1628"/>
          <w:sz w:val="34"/>
          <w:szCs w:val="34"/>
        </w:rPr>
        <w:t xml:space="preserve">6. Daily Operations Runbook (Webmaster)</w:t>
      </w:r>
      <w:bookmarkEnd w:id="100050"/>
    </w:p>
    <w:p>
      <w:pPr>
        <w:pStyle w:val="Heading2"/>
        <w:spacing w:after="120" w:before="300"/>
      </w:pPr>
      <w:bookmarkStart w:id="100051" w:name="_Toc100051"/>
      <w:r>
        <w:rPr>
          <w:rFonts w:ascii="Calibri" w:eastAsia="SimHei"/>
          <w:b/>
          <w:bCs/>
          <w:color w:val="0A1628"/>
          <w:sz w:val="28"/>
          <w:szCs w:val="28"/>
        </w:rPr>
        <w:t xml:space="preserve">6.1 Morning Check (10 minutes)</w:t>
      </w:r>
      <w:bookmarkEnd w:id="100051"/>
    </w:p>
    <w:p>
      <w:pPr>
        <w:pStyle w:val="ListParagraph"/>
        <w:numPr>
          <w:ilvl w:val="0"/>
          <w:numId w:val="15"/>
        </w:numPr>
        <w:spacing w:after="60" w:line="312"/>
      </w:pPr>
      <w:r>
        <w:rPr>
          <w:rFonts w:ascii="Calibri" w:eastAsia="Microsoft YaHei"/>
          <w:color w:val="1A2B40"/>
          <w:sz w:val="22"/>
          <w:szCs w:val="22"/>
        </w:rPr>
        <w:t xml:space="preserve">Open the </w:t>
      </w:r>
      <w:r>
        <w:rPr>
          <w:rFonts w:ascii="Calibri" w:eastAsia="Microsoft YaHei"/>
          <w:b/>
          <w:bCs/>
          <w:color w:val="0A1628"/>
          <w:sz w:val="22"/>
          <w:szCs w:val="22"/>
        </w:rPr>
        <w:t xml:space="preserve">Dashboard</w:t>
      </w:r>
      <w:r>
        <w:rPr>
          <w:rFonts w:ascii="Calibri" w:eastAsia="Microsoft YaHei"/>
          <w:color w:val="1A2B40"/>
          <w:sz w:val="22"/>
          <w:szCs w:val="22"/>
        </w:rPr>
        <w:t xml:space="preserve">. Anything in the SLA risk queue? Open and triage those leads first.</w:t>
      </w:r>
    </w:p>
    <w:p>
      <w:pPr>
        <w:pStyle w:val="ListParagraph"/>
        <w:numPr>
          <w:ilvl w:val="0"/>
          <w:numId w:val="15"/>
        </w:numPr>
        <w:spacing w:after="60" w:line="312"/>
      </w:pPr>
      <w:r>
        <w:rPr>
          <w:rFonts w:ascii="Calibri" w:eastAsia="Microsoft YaHei"/>
          <w:color w:val="1A2B40"/>
          <w:sz w:val="22"/>
          <w:szCs w:val="22"/>
        </w:rPr>
        <w:t xml:space="preserve">Check the leads analytics strip: is the waiting-for-first-reply count growing? Answer new leads with </w:t>
      </w:r>
      <w:r>
        <w:rPr>
          <w:rFonts w:ascii="Calibri" w:eastAsia="Microsoft YaHei"/>
          <w:b/>
          <w:bCs/>
          <w:color w:val="0A1628"/>
          <w:sz w:val="22"/>
          <w:szCs w:val="22"/>
        </w:rPr>
        <w:t xml:space="preserve">Reply to customer</w:t>
      </w:r>
      <w:r>
        <w:rPr>
          <w:rFonts w:ascii="Calibri" w:eastAsia="Microsoft YaHei"/>
          <w:color w:val="1A2B40"/>
          <w:sz w:val="22"/>
          <w:szCs w:val="22"/>
        </w:rPr>
        <w:t xml:space="preserve"> — the five-minute rule is the single biggest conversion lever.</w:t>
      </w:r>
    </w:p>
    <w:p>
      <w:pPr>
        <w:pStyle w:val="ListParagraph"/>
        <w:numPr>
          <w:ilvl w:val="0"/>
          <w:numId w:val="15"/>
        </w:numPr>
        <w:spacing w:after="60" w:line="312"/>
      </w:pPr>
      <w:r>
        <w:rPr>
          <w:rFonts w:ascii="Calibri" w:eastAsia="Microsoft YaHei"/>
          <w:color w:val="1A2B40"/>
          <w:sz w:val="22"/>
          <w:szCs w:val="22"/>
        </w:rPr>
        <w:t xml:space="preserve">Glance at RMA board columns for submitted cases; run the serial check on any case whose card shows a serial.</w:t>
      </w:r>
    </w:p>
    <w:p>
      <w:pPr>
        <w:pStyle w:val="ListParagraph"/>
        <w:numPr>
          <w:ilvl w:val="0"/>
          <w:numId w:val="15"/>
        </w:numPr>
        <w:spacing w:after="60" w:line="312"/>
      </w:pPr>
      <w:r>
        <w:rPr>
          <w:rFonts w:ascii="Calibri" w:eastAsia="Microsoft YaHei"/>
          <w:color w:val="1A2B40"/>
          <w:sz w:val="22"/>
          <w:szCs w:val="22"/>
        </w:rPr>
        <w:t xml:space="preserve">Confirm media alt-text compliance is at 100% (dashboard widget links straight to the filtered media list).</w:t>
      </w:r>
    </w:p>
    <w:p>
      <w:pPr>
        <w:pStyle w:val="ListParagraph"/>
        <w:numPr>
          <w:ilvl w:val="0"/>
          <w:numId w:val="15"/>
        </w:numPr>
        <w:spacing w:after="60" w:line="312"/>
      </w:pPr>
      <w:r>
        <w:rPr>
          <w:rFonts w:ascii="Calibri" w:eastAsia="Microsoft YaHei"/>
          <w:color w:val="1A2B40"/>
          <w:sz w:val="22"/>
          <w:szCs w:val="22"/>
        </w:rPr>
        <w:t xml:space="preserve">Review the Content Studio Review Queue if authors submitted overnight.</w:t>
      </w:r>
    </w:p>
    <w:p>
      <w:pPr>
        <w:pStyle w:val="Heading2"/>
        <w:spacing w:after="120" w:before="300"/>
      </w:pPr>
      <w:bookmarkStart w:id="100052" w:name="_Toc100052"/>
      <w:r>
        <w:rPr>
          <w:rFonts w:ascii="Calibri" w:eastAsia="SimHei"/>
          <w:b/>
          <w:bCs/>
          <w:color w:val="0A1628"/>
          <w:sz w:val="28"/>
          <w:szCs w:val="28"/>
        </w:rPr>
        <w:t xml:space="preserve">6.2 Publishing Content to the Live Site</w:t>
      </w:r>
      <w:bookmarkEnd w:id="100052"/>
    </w:p>
    <w:p>
      <w:pPr>
        <w:spacing w:after="120" w:line="312"/>
        <w:jc w:val="both"/>
      </w:pPr>
      <w:r>
        <w:rPr>
          <w:rFonts w:ascii="Calibri" w:eastAsia="Microsoft YaHei"/>
          <w:color w:val="1A2B40"/>
          <w:sz w:val="22"/>
          <w:szCs w:val="22"/>
        </w:rPr>
        <w:t xml:space="preserve">Publish inside the modules as described in §5; production builds export content automatically. If you operate a long-running staging or dev server and need changes visible immediately without a rebuild, re-run the exporter (see §7.6) and the merge layer picks them up on page refresh.</w:t>
      </w:r>
    </w:p>
    <w:p>
      <w:pPr>
        <w:pStyle w:val="Heading2"/>
        <w:spacing w:after="120" w:before="300"/>
      </w:pPr>
      <w:bookmarkStart w:id="100053" w:name="_Toc100053"/>
      <w:r>
        <w:rPr>
          <w:rFonts w:ascii="Calibri" w:eastAsia="SimHei"/>
          <w:b/>
          <w:bCs/>
          <w:color w:val="0A1628"/>
          <w:sz w:val="28"/>
          <w:szCs w:val="28"/>
        </w:rPr>
        <w:t xml:space="preserve">6.3 Weekly Rhythm</w:t>
      </w:r>
      <w:bookmarkEnd w:id="100053"/>
    </w:p>
    <w:p>
      <w:pPr>
        <w:pStyle w:val="ListParagraph"/>
        <w:numPr>
          <w:ilvl w:val="0"/>
          <w:numId w:val="16"/>
        </w:numPr>
        <w:spacing w:after="60" w:line="312"/>
      </w:pPr>
      <w:r>
        <w:rPr>
          <w:rFonts w:ascii="Calibri" w:eastAsia="Microsoft YaHei"/>
          <w:color w:val="1A2B40"/>
          <w:sz w:val="22"/>
          <w:szCs w:val="22"/>
        </w:rPr>
        <w:t xml:space="preserve">Careers: close expiring postings (the list shows red closed-Xd-ago / amber closes-in-Xd warnings); review applications and reply.</w:t>
      </w:r>
    </w:p>
    <w:p>
      <w:pPr>
        <w:pStyle w:val="ListParagraph"/>
        <w:numPr>
          <w:ilvl w:val="0"/>
          <w:numId w:val="16"/>
        </w:numPr>
        <w:spacing w:after="60" w:line="312"/>
      </w:pPr>
      <w:r>
        <w:rPr>
          <w:rFonts w:ascii="Calibri" w:eastAsia="Microsoft YaHei"/>
          <w:color w:val="1A2B40"/>
          <w:sz w:val="22"/>
          <w:szCs w:val="22"/>
        </w:rPr>
        <w:t xml:space="preserve">Serials: run the anomaly scan; investigate flagged serials with the drill-down; email the ops alert if the list is non-empty.</w:t>
      </w:r>
    </w:p>
    <w:p>
      <w:pPr>
        <w:pStyle w:val="ListParagraph"/>
        <w:numPr>
          <w:ilvl w:val="0"/>
          <w:numId w:val="16"/>
        </w:numPr>
        <w:spacing w:after="60" w:line="312"/>
      </w:pPr>
      <w:r>
        <w:rPr>
          <w:rFonts w:ascii="Calibri" w:eastAsia="Microsoft YaHei"/>
          <w:color w:val="1A2B40"/>
          <w:sz w:val="22"/>
          <w:szCs w:val="22"/>
        </w:rPr>
        <w:t xml:space="preserve">Partners: review pending portal organizations; refresh the where-to-buy directory from channel updates (CSV import).</w:t>
      </w:r>
    </w:p>
    <w:p>
      <w:pPr>
        <w:pStyle w:val="ListParagraph"/>
        <w:numPr>
          <w:ilvl w:val="0"/>
          <w:numId w:val="16"/>
        </w:numPr>
        <w:spacing w:after="60" w:line="312"/>
      </w:pPr>
      <w:r>
        <w:rPr>
          <w:rFonts w:ascii="Calibri" w:eastAsia="Microsoft YaHei"/>
          <w:color w:val="1A2B40"/>
          <w:sz w:val="22"/>
          <w:szCs w:val="22"/>
        </w:rPr>
        <w:t xml:space="preserve">Media: clear missing-alt items; flag low-resolution masters for replacement.</w:t>
      </w:r>
    </w:p>
    <w:p>
      <w:pPr>
        <w:pStyle w:val="ListParagraph"/>
        <w:numPr>
          <w:ilvl w:val="0"/>
          <w:numId w:val="16"/>
        </w:numPr>
        <w:spacing w:after="60" w:line="312"/>
      </w:pPr>
      <w:r>
        <w:rPr>
          <w:rFonts w:ascii="Calibri" w:eastAsia="Microsoft YaHei"/>
          <w:color w:val="1A2B40"/>
          <w:sz w:val="22"/>
          <w:szCs w:val="22"/>
        </w:rPr>
        <w:t xml:space="preserve">Users: review the security strip — MFA coverage, active session count, suspended accounts — and offboard leavers (revoke sessions, then suspend).</w:t>
      </w:r>
    </w:p>
    <w:p>
      <w:pPr>
        <w:pStyle w:val="Heading2"/>
        <w:spacing w:after="120" w:before="300"/>
      </w:pPr>
      <w:bookmarkStart w:id="100054" w:name="_Toc100054"/>
      <w:r>
        <w:rPr>
          <w:rFonts w:ascii="Calibri" w:eastAsia="SimHei"/>
          <w:b/>
          <w:bCs/>
          <w:color w:val="0A1628"/>
          <w:sz w:val="28"/>
          <w:szCs w:val="28"/>
        </w:rPr>
        <w:t xml:space="preserve">6.4 Access Management Rules</w:t>
      </w:r>
      <w:bookmarkEnd w:id="100054"/>
    </w:p>
    <w:p>
      <w:pPr>
        <w:pStyle w:val="ListParagraph"/>
        <w:numPr>
          <w:ilvl w:val="0"/>
          <w:numId w:val="17"/>
        </w:numPr>
        <w:spacing w:after="60" w:line="312"/>
      </w:pPr>
      <w:r>
        <w:rPr>
          <w:rFonts w:ascii="Calibri" w:eastAsia="Microsoft YaHei"/>
          <w:color w:val="1A2B40"/>
          <w:sz w:val="22"/>
          <w:szCs w:val="22"/>
        </w:rPr>
        <w:t xml:space="preserve">Every staff member gets an individual account with the minimum role that lets them work; shared logins are prohibited.</w:t>
      </w:r>
    </w:p>
    <w:p>
      <w:pPr>
        <w:pStyle w:val="ListParagraph"/>
        <w:numPr>
          <w:ilvl w:val="0"/>
          <w:numId w:val="17"/>
        </w:numPr>
        <w:spacing w:after="60" w:line="312"/>
      </w:pPr>
      <w:r>
        <w:rPr>
          <w:rFonts w:ascii="Calibri" w:eastAsia="Microsoft YaHei"/>
          <w:color w:val="1A2B40"/>
          <w:sz w:val="22"/>
          <w:szCs w:val="22"/>
        </w:rPr>
        <w:t xml:space="preserve">TOTP two-factor is offered at sign-in and enforced by policy — assist enrollment rather than exempting accounts.</w:t>
      </w:r>
    </w:p>
    <w:p>
      <w:pPr>
        <w:pStyle w:val="ListParagraph"/>
        <w:numPr>
          <w:ilvl w:val="0"/>
          <w:numId w:val="17"/>
        </w:numPr>
        <w:spacing w:after="60" w:line="312"/>
      </w:pPr>
      <w:r>
        <w:rPr>
          <w:rFonts w:ascii="Calibri" w:eastAsia="Microsoft YaHei"/>
          <w:color w:val="1A2B40"/>
          <w:sz w:val="22"/>
          <w:szCs w:val="22"/>
        </w:rPr>
        <w:t xml:space="preserve">Role changes are audited; the system always preserves at least one active super_admin, so demote carefully.</w:t>
      </w:r>
    </w:p>
    <w:p>
      <w:pPr>
        <w:pStyle w:val="ListParagraph"/>
        <w:numPr>
          <w:ilvl w:val="0"/>
          <w:numId w:val="17"/>
        </w:numPr>
        <w:spacing w:after="60" w:line="312"/>
      </w:pPr>
      <w:r>
        <w:rPr>
          <w:rFonts w:ascii="Calibri" w:eastAsia="Microsoft YaHei"/>
          <w:color w:val="1A2B40"/>
          <w:sz w:val="22"/>
          <w:szCs w:val="22"/>
        </w:rPr>
        <w:t xml:space="preserve">On termination: revoke sessions first (immediate logout), then suspend with reason. The audit trail remains readable.</w:t>
      </w:r>
    </w:p>
    <w:p>
      <w:pPr>
        <w:pStyle w:val="Heading1"/>
        <w:spacing w:after="160" w:before="400"/>
      </w:pPr>
      <w:bookmarkStart w:id="100055" w:name="_Toc100055"/>
      <w:r>
        <w:rPr>
          <w:rFonts w:ascii="Calibri" w:eastAsia="SimHei"/>
          <w:b/>
          <w:bCs/>
          <w:color w:val="0A1628"/>
          <w:sz w:val="34"/>
          <w:szCs w:val="34"/>
        </w:rPr>
        <w:t xml:space="preserve">7. Cloud Deployment Guide (Software Engineer)</w:t>
      </w:r>
      <w:bookmarkEnd w:id="100055"/>
    </w:p>
    <w:p>
      <w:pPr>
        <w:spacing w:after="120" w:line="312"/>
        <w:jc w:val="both"/>
      </w:pPr>
      <w:r>
        <w:rPr>
          <w:rFonts w:ascii="Calibri" w:eastAsia="Microsoft YaHei"/>
          <w:color w:val="1A2B40"/>
          <w:sz w:val="22"/>
          <w:szCs w:val="22"/>
        </w:rPr>
        <w:t xml:space="preserve">The codebase is production-ready and this runbook mirrors </w:t>
      </w:r>
      <w:r>
        <w:rPr>
          <w:rFonts w:ascii="Courier New" w:eastAsia="Microsoft YaHei"/>
          <w:color w:val="0E9F7E"/>
          <w:sz w:val="19"/>
          <w:szCs w:val="19"/>
        </w:rPr>
        <w:t xml:space="preserve">docs/runbooks/DEPLOY.md</w:t>
      </w:r>
      <w:r>
        <w:rPr>
          <w:rFonts w:ascii="Calibri" w:eastAsia="Microsoft YaHei"/>
          <w:color w:val="1A2B40"/>
          <w:sz w:val="22"/>
          <w:szCs w:val="22"/>
        </w:rPr>
        <w:t xml:space="preserve"> in the repository, which remains the source of record. The verified topology is: </w:t>
      </w:r>
      <w:r>
        <w:rPr>
          <w:rFonts w:ascii="Calibri" w:eastAsia="Microsoft YaHei"/>
          <w:b/>
          <w:bCs/>
          <w:color w:val="0A1628"/>
          <w:sz w:val="22"/>
          <w:szCs w:val="22"/>
        </w:rPr>
        <w:t xml:space="preserve">Cloudflare (TLS, WAF) → VM nginx → static web + admin bundles on disk, /api/ reverse-proxied to a Node systemd service → PostgreSQL 16</w:t>
      </w:r>
      <w:r>
        <w:rPr>
          <w:rFonts w:ascii="Calibri" w:eastAsia="Microsoft YaHei"/>
          <w:color w:val="1A2B40"/>
          <w:sz w:val="22"/>
          <w:szCs w:val="22"/>
        </w:rPr>
        <w:t xml:space="preserve">. One origin keeps Better Auth cookies same-site.</w:t>
      </w:r>
    </w:p>
    <w:p>
      <w:pPr>
        <w:pStyle w:val="Heading2"/>
        <w:spacing w:after="120" w:before="300"/>
      </w:pPr>
      <w:bookmarkStart w:id="100056" w:name="_Toc100056"/>
      <w:r>
        <w:rPr>
          <w:rFonts w:ascii="Calibri" w:eastAsia="SimHei"/>
          <w:b/>
          <w:bCs/>
          <w:color w:val="0A1628"/>
          <w:sz w:val="28"/>
          <w:szCs w:val="28"/>
        </w:rPr>
        <w:t xml:space="preserve">7.1 Production Topology and Sizing</w:t>
      </w:r>
      <w:bookmarkEnd w:id="100056"/>
    </w:p>
    <w:tbl>
      <w:tblPr>
        <w:tblW w:type="dxa" w:w="9200"/>
        <w:tblBorders>
          <w:top w:val="single" w:color="D5DDE7" w:sz="4"/>
          <w:left w:val="single" w:color="D5DDE7" w:sz="4"/>
          <w:bottom w:val="single" w:color="D5DDE7" w:sz="4"/>
          <w:right w:val="single" w:color="D5DDE7" w:sz="4"/>
          <w:insideH w:val="single" w:color="E6EBF1" w:sz="2"/>
          <w:insideV w:val="single" w:color="E6EBF1" w:sz="2"/>
        </w:tblBorders>
        <w:tblLayout w:type="fixed"/>
      </w:tblPr>
      <w:tblGrid>
        <w:gridCol w:w="1700"/>
        <w:gridCol w:w="3300"/>
        <w:gridCol w:w="4200"/>
      </w:tblGrid>
      <w:tr>
        <w:trPr>
          <w:cantSplit/>
          <w:tblHeader/>
        </w:trPr>
        <w:tc>
          <w:tcPr>
            <w:tcW w:type="dxa" w:w="1700"/>
            <w:shd w:fill="0A1628" w:val="clear"/>
            <w:tcMar>
              <w:top w:type="dxa" w:w="80"/>
              <w:left w:type="dxa" w:w="120"/>
              <w:bottom w:type="dxa" w:w="80"/>
              <w:right w:type="dxa" w:w="120"/>
            </w:tcMar>
            <w:vAlign w:val="center"/>
          </w:tcPr>
          <w:p>
            <w:r>
              <w:rPr>
                <w:rFonts w:ascii="Calibri" w:eastAsia="Microsoft YaHei"/>
                <w:b/>
                <w:bCs/>
                <w:color w:val="FFFFFF"/>
                <w:sz w:val="19"/>
                <w:szCs w:val="19"/>
              </w:rPr>
              <w:t xml:space="preserve">Component</w:t>
            </w:r>
          </w:p>
        </w:tc>
        <w:tc>
          <w:tcPr>
            <w:tcW w:type="dxa" w:w="3300"/>
            <w:shd w:fill="0A1628" w:val="clear"/>
            <w:tcMar>
              <w:top w:type="dxa" w:w="80"/>
              <w:left w:type="dxa" w:w="120"/>
              <w:bottom w:type="dxa" w:w="80"/>
              <w:right w:type="dxa" w:w="120"/>
            </w:tcMar>
            <w:vAlign w:val="center"/>
          </w:tcPr>
          <w:p>
            <w:r>
              <w:rPr>
                <w:rFonts w:ascii="Calibri" w:eastAsia="Microsoft YaHei"/>
                <w:b/>
                <w:bCs/>
                <w:color w:val="FFFFFF"/>
                <w:sz w:val="19"/>
                <w:szCs w:val="19"/>
              </w:rPr>
              <w:t xml:space="preserve">Recommendation</w:t>
            </w:r>
          </w:p>
        </w:tc>
        <w:tc>
          <w:tcPr>
            <w:tcW w:type="dxa" w:w="4200"/>
            <w:shd w:fill="0A1628" w:val="clear"/>
            <w:tcMar>
              <w:top w:type="dxa" w:w="80"/>
              <w:left w:type="dxa" w:w="120"/>
              <w:bottom w:type="dxa" w:w="80"/>
              <w:right w:type="dxa" w:w="120"/>
            </w:tcMar>
            <w:vAlign w:val="center"/>
          </w:tcPr>
          <w:p>
            <w:r>
              <w:rPr>
                <w:rFonts w:ascii="Calibri" w:eastAsia="Microsoft YaHei"/>
                <w:b/>
                <w:bCs/>
                <w:color w:val="FFFFFF"/>
                <w:sz w:val="19"/>
                <w:szCs w:val="19"/>
              </w:rPr>
              <w:t xml:space="preserve">Notes</w:t>
            </w:r>
          </w:p>
        </w:tc>
      </w:tr>
      <w:tr>
        <w:trPr>
          <w:cantSplit/>
        </w:trPr>
        <w:tc>
          <w:tcPr>
            <w:tcW w:type="dxa" w:w="1700"/>
            <w:shd w:fill="FFFFFF" w:val="clear"/>
            <w:tcMar>
              <w:top w:type="dxa" w:w="60"/>
              <w:left w:type="dxa" w:w="120"/>
              <w:bottom w:type="dxa" w:w="60"/>
              <w:right w:type="dxa" w:w="120"/>
            </w:tcMar>
          </w:tcPr>
          <w:p>
            <w:r>
              <w:rPr>
                <w:rFonts w:ascii="Calibri" w:eastAsia="Microsoft YaHei"/>
                <w:color w:val="1A2B40"/>
                <w:sz w:val="19"/>
                <w:szCs w:val="19"/>
              </w:rPr>
              <w:t xml:space="preserve">VM</w:t>
            </w:r>
          </w:p>
        </w:tc>
        <w:tc>
          <w:tcPr>
            <w:tcW w:type="dxa" w:w="3300"/>
            <w:shd w:fill="FFFFFF" w:val="clear"/>
            <w:tcMar>
              <w:top w:type="dxa" w:w="60"/>
              <w:left w:type="dxa" w:w="120"/>
              <w:bottom w:type="dxa" w:w="60"/>
              <w:right w:type="dxa" w:w="120"/>
            </w:tcMar>
          </w:tcPr>
          <w:p>
            <w:r>
              <w:rPr>
                <w:rFonts w:ascii="Calibri" w:eastAsia="Microsoft YaHei"/>
                <w:color w:val="1A2B40"/>
                <w:sz w:val="19"/>
                <w:szCs w:val="19"/>
              </w:rPr>
              <w:t xml:space="preserve">2 vCPU / 4 GB RAM / 40 GB SSD (web+api+db on one box to start)</w:t>
            </w:r>
          </w:p>
        </w:tc>
        <w:tc>
          <w:tcPr>
            <w:tcW w:type="dxa" w:w="4200"/>
            <w:shd w:fill="FFFFFF" w:val="clear"/>
            <w:tcMar>
              <w:top w:type="dxa" w:w="60"/>
              <w:left w:type="dxa" w:w="120"/>
              <w:bottom w:type="dxa" w:w="60"/>
              <w:right w:type="dxa" w:w="120"/>
            </w:tcMar>
          </w:tcPr>
          <w:p>
            <w:r>
              <w:rPr>
                <w:rFonts w:ascii="Calibri" w:eastAsia="Microsoft YaHei"/>
                <w:color w:val="1A2B40"/>
                <w:sz w:val="19"/>
                <w:szCs w:val="19"/>
              </w:rPr>
              <w:t xml:space="preserve">Static assets are CDN-cached; the API is the only compute</w:t>
            </w:r>
          </w:p>
        </w:tc>
      </w:tr>
      <w:tr>
        <w:trPr>
          <w:cantSplit/>
        </w:trPr>
        <w:tc>
          <w:tcPr>
            <w:tcW w:type="dxa" w:w="1700"/>
            <w:shd w:fill="F4F8FC" w:val="clear"/>
            <w:tcMar>
              <w:top w:type="dxa" w:w="60"/>
              <w:left w:type="dxa" w:w="120"/>
              <w:bottom w:type="dxa" w:w="60"/>
              <w:right w:type="dxa" w:w="120"/>
            </w:tcMar>
          </w:tcPr>
          <w:p>
            <w:r>
              <w:rPr>
                <w:rFonts w:ascii="Calibri" w:eastAsia="Microsoft YaHei"/>
                <w:color w:val="1A2B40"/>
                <w:sz w:val="19"/>
                <w:szCs w:val="19"/>
              </w:rPr>
              <w:t xml:space="preserve">Node.js</w:t>
            </w:r>
          </w:p>
        </w:tc>
        <w:tc>
          <w:tcPr>
            <w:tcW w:type="dxa" w:w="3300"/>
            <w:shd w:fill="F4F8FC" w:val="clear"/>
            <w:tcMar>
              <w:top w:type="dxa" w:w="60"/>
              <w:left w:type="dxa" w:w="120"/>
              <w:bottom w:type="dxa" w:w="60"/>
              <w:right w:type="dxa" w:w="120"/>
            </w:tcMar>
          </w:tcPr>
          <w:p>
            <w:r>
              <w:rPr>
                <w:rFonts w:ascii="Calibri" w:eastAsia="Microsoft YaHei"/>
                <w:color w:val="1A2B40"/>
                <w:sz w:val="19"/>
                <w:szCs w:val="19"/>
              </w:rPr>
              <w:t xml:space="preserve">v24 LTS (nodesource)</w:t>
            </w:r>
          </w:p>
        </w:tc>
        <w:tc>
          <w:tcPr>
            <w:tcW w:type="dxa" w:w="4200"/>
            <w:shd w:fill="F4F8FC" w:val="clear"/>
            <w:tcMar>
              <w:top w:type="dxa" w:w="60"/>
              <w:left w:type="dxa" w:w="120"/>
              <w:bottom w:type="dxa" w:w="60"/>
              <w:right w:type="dxa" w:w="120"/>
            </w:tcMar>
          </w:tcPr>
          <w:p>
            <w:r>
              <w:rPr>
                <w:rFonts w:ascii="Calibri" w:eastAsia="Microsoft YaHei"/>
                <w:color w:val="1A2B40"/>
                <w:sz w:val="19"/>
                <w:szCs w:val="19"/>
              </w:rPr>
              <w:t xml:space="preserve">TypeScript executed natively — no build step for the API</w:t>
            </w:r>
          </w:p>
        </w:tc>
      </w:tr>
      <w:tr>
        <w:trPr>
          <w:cantSplit/>
        </w:trPr>
        <w:tc>
          <w:tcPr>
            <w:tcW w:type="dxa" w:w="1700"/>
            <w:shd w:fill="FFFFFF" w:val="clear"/>
            <w:tcMar>
              <w:top w:type="dxa" w:w="60"/>
              <w:left w:type="dxa" w:w="120"/>
              <w:bottom w:type="dxa" w:w="60"/>
              <w:right w:type="dxa" w:w="120"/>
            </w:tcMar>
          </w:tcPr>
          <w:p>
            <w:r>
              <w:rPr>
                <w:rFonts w:ascii="Calibri" w:eastAsia="Microsoft YaHei"/>
                <w:color w:val="1A2B40"/>
                <w:sz w:val="19"/>
                <w:szCs w:val="19"/>
              </w:rPr>
              <w:t xml:space="preserve">PostgreSQL</w:t>
            </w:r>
          </w:p>
        </w:tc>
        <w:tc>
          <w:tcPr>
            <w:tcW w:type="dxa" w:w="3300"/>
            <w:shd w:fill="FFFFFF" w:val="clear"/>
            <w:tcMar>
              <w:top w:type="dxa" w:w="60"/>
              <w:left w:type="dxa" w:w="120"/>
              <w:bottom w:type="dxa" w:w="60"/>
              <w:right w:type="dxa" w:w="120"/>
            </w:tcMar>
          </w:tcPr>
          <w:p>
            <w:r>
              <w:rPr>
                <w:rFonts w:ascii="Calibri" w:eastAsia="Microsoft YaHei"/>
                <w:color w:val="1A2B40"/>
                <w:sz w:val="19"/>
                <w:szCs w:val="19"/>
              </w:rPr>
              <w:t xml:space="preserve">16 (pgdg)</w:t>
            </w:r>
          </w:p>
        </w:tc>
        <w:tc>
          <w:tcPr>
            <w:tcW w:type="dxa" w:w="4200"/>
            <w:shd w:fill="FFFFFF" w:val="clear"/>
            <w:tcMar>
              <w:top w:type="dxa" w:w="60"/>
              <w:left w:type="dxa" w:w="120"/>
              <w:bottom w:type="dxa" w:w="60"/>
              <w:right w:type="dxa" w:w="120"/>
            </w:tcMar>
          </w:tcPr>
          <w:p>
            <w:r>
              <w:rPr>
                <w:rFonts w:ascii="Calibri" w:eastAsia="Microsoft YaHei"/>
                <w:color w:val="1A2B40"/>
                <w:sz w:val="19"/>
                <w:szCs w:val="19"/>
              </w:rPr>
              <w:t xml:space="preserve">Enable WAL archiving for the 15-minute RPO (see DR.md)</w:t>
            </w:r>
          </w:p>
        </w:tc>
      </w:tr>
      <w:tr>
        <w:trPr>
          <w:cantSplit/>
        </w:trPr>
        <w:tc>
          <w:tcPr>
            <w:tcW w:type="dxa" w:w="1700"/>
            <w:shd w:fill="F4F8FC" w:val="clear"/>
            <w:tcMar>
              <w:top w:type="dxa" w:w="60"/>
              <w:left w:type="dxa" w:w="120"/>
              <w:bottom w:type="dxa" w:w="60"/>
              <w:right w:type="dxa" w:w="120"/>
            </w:tcMar>
          </w:tcPr>
          <w:p>
            <w:r>
              <w:rPr>
                <w:rFonts w:ascii="Calibri" w:eastAsia="Microsoft YaHei"/>
                <w:color w:val="1A2B40"/>
                <w:sz w:val="19"/>
                <w:szCs w:val="19"/>
              </w:rPr>
              <w:t xml:space="preserve">nginx</w:t>
            </w:r>
          </w:p>
        </w:tc>
        <w:tc>
          <w:tcPr>
            <w:tcW w:type="dxa" w:w="3300"/>
            <w:shd w:fill="F4F8FC" w:val="clear"/>
            <w:tcMar>
              <w:top w:type="dxa" w:w="60"/>
              <w:left w:type="dxa" w:w="120"/>
              <w:bottom w:type="dxa" w:w="60"/>
              <w:right w:type="dxa" w:w="120"/>
            </w:tcMar>
          </w:tcPr>
          <w:p>
            <w:r>
              <w:rPr>
                <w:rFonts w:ascii="Calibri" w:eastAsia="Microsoft YaHei"/>
                <w:color w:val="1A2B40"/>
                <w:sz w:val="19"/>
                <w:szCs w:val="19"/>
              </w:rPr>
              <w:t xml:space="preserve">Stable branch</w:t>
            </w:r>
          </w:p>
        </w:tc>
        <w:tc>
          <w:tcPr>
            <w:tcW w:type="dxa" w:w="4200"/>
            <w:shd w:fill="F4F8FC" w:val="clear"/>
            <w:tcMar>
              <w:top w:type="dxa" w:w="60"/>
              <w:left w:type="dxa" w:w="120"/>
              <w:bottom w:type="dxa" w:w="60"/>
              <w:right w:type="dxa" w:w="120"/>
            </w:tcMar>
          </w:tcPr>
          <w:p>
            <w:r>
              <w:rPr>
                <w:rFonts w:ascii="Calibri" w:eastAsia="Microsoft YaHei"/>
                <w:color w:val="1A2B40"/>
                <w:sz w:val="19"/>
                <w:szCs w:val="19"/>
              </w:rPr>
              <w:t xml:space="preserve">Config shipped: deploy/nginx/twinmos.conf</w:t>
            </w:r>
          </w:p>
        </w:tc>
      </w:tr>
      <w:tr>
        <w:trPr>
          <w:cantSplit/>
        </w:trPr>
        <w:tc>
          <w:tcPr>
            <w:tcW w:type="dxa" w:w="1700"/>
            <w:shd w:fill="FFFFFF" w:val="clear"/>
            <w:tcMar>
              <w:top w:type="dxa" w:w="60"/>
              <w:left w:type="dxa" w:w="120"/>
              <w:bottom w:type="dxa" w:w="60"/>
              <w:right w:type="dxa" w:w="120"/>
            </w:tcMar>
          </w:tcPr>
          <w:p>
            <w:r>
              <w:rPr>
                <w:rFonts w:ascii="Calibri" w:eastAsia="Microsoft YaHei"/>
                <w:color w:val="1A2B40"/>
                <w:sz w:val="19"/>
                <w:szCs w:val="19"/>
              </w:rPr>
              <w:t xml:space="preserve">Edge</w:t>
            </w:r>
          </w:p>
        </w:tc>
        <w:tc>
          <w:tcPr>
            <w:tcW w:type="dxa" w:w="3300"/>
            <w:shd w:fill="FFFFFF" w:val="clear"/>
            <w:tcMar>
              <w:top w:type="dxa" w:w="60"/>
              <w:left w:type="dxa" w:w="120"/>
              <w:bottom w:type="dxa" w:w="60"/>
              <w:right w:type="dxa" w:w="120"/>
            </w:tcMar>
          </w:tcPr>
          <w:p>
            <w:r>
              <w:rPr>
                <w:rFonts w:ascii="Calibri" w:eastAsia="Microsoft YaHei"/>
                <w:color w:val="1A2B40"/>
                <w:sz w:val="19"/>
                <w:szCs w:val="19"/>
              </w:rPr>
              <w:t xml:space="preserve">Cloudflare proxied</w:t>
            </w:r>
          </w:p>
        </w:tc>
        <w:tc>
          <w:tcPr>
            <w:tcW w:type="dxa" w:w="4200"/>
            <w:shd w:fill="FFFFFF" w:val="clear"/>
            <w:tcMar>
              <w:top w:type="dxa" w:w="60"/>
              <w:left w:type="dxa" w:w="120"/>
              <w:bottom w:type="dxa" w:w="60"/>
              <w:right w:type="dxa" w:w="120"/>
            </w:tcMar>
          </w:tcPr>
          <w:p>
            <w:r>
              <w:rPr>
                <w:rFonts w:ascii="Calibri" w:eastAsia="Microsoft YaHei"/>
                <w:color w:val="1A2B40"/>
                <w:sz w:val="19"/>
                <w:szCs w:val="19"/>
              </w:rPr>
              <w:t xml:space="preserve">TLS full-strict; Brotli; WAF; origin cert on nginx</w:t>
            </w:r>
          </w:p>
        </w:tc>
      </w:tr>
    </w:tbl>
    <w:p>
      <w:pPr>
        <w:spacing w:after="120"/>
      </w:pPr>
    </w:p>
    <w:p>
      <w:pPr>
        <w:pStyle w:val="Heading2"/>
        <w:spacing w:after="120" w:before="300"/>
      </w:pPr>
      <w:bookmarkStart w:id="100057" w:name="_Toc100057"/>
      <w:r>
        <w:rPr>
          <w:rFonts w:ascii="Calibri" w:eastAsia="SimHei"/>
          <w:b/>
          <w:bCs/>
          <w:color w:val="0A1628"/>
          <w:sz w:val="28"/>
          <w:szCs w:val="28"/>
        </w:rPr>
        <w:t xml:space="preserve">7.2 Step 1 — Provision and Prepare the VM (once)</w:t>
      </w:r>
      <w:bookmarkEnd w:id="100057"/>
    </w:p>
    <w:tbl>
      <w:tblPr>
        <w:tblW w:type="pct" w:w="5000"/>
        <w:tblBorders>
          <w:top w:val="single" w:color="DCE3EB" w:sz="4"/>
          <w:left w:val="single" w:color="DCE3EB" w:sz="4"/>
          <w:bottom w:val="single" w:color="DCE3EB" w:sz="4"/>
          <w:right w:val="single" w:color="DCE3EB" w:sz="4"/>
          <w:insideH w:val="none" w:color="FFFFFF" w:sz="0"/>
          <w:insideV w:val="none" w:color="FFFFFF" w:sz="0"/>
        </w:tblBorders>
        <w:tblLayout w:type="fixed"/>
      </w:tblPr>
      <w:tblGrid>
        <w:gridCol w:w="8788"/>
      </w:tblGrid>
      <w:tr>
        <w:tc>
          <w:tcPr>
            <w:shd w:fill="F4F7FA" w:val="clear"/>
            <w:tcMar>
              <w:top w:type="dxa" w:w="120"/>
              <w:left w:type="dxa" w:w="200"/>
              <w:bottom w:type="dxa" w:w="120"/>
              <w:right w:type="dxa" w:w="200"/>
            </w:tcMar>
          </w:tcPr>
          <w:p>
            <w:pPr>
              <w:spacing w:line="264"/>
            </w:pPr>
            <w:r>
              <w:rPr>
                <w:rFonts w:ascii="Courier New" w:eastAsia="Microsoft YaHei"/>
                <w:color w:val="24344A"/>
                <w:sz w:val="18"/>
                <w:szCs w:val="18"/>
              </w:rPr>
              <w:t xml:space="preserve"># user + directories</w:t>
            </w:r>
          </w:p>
          <w:p>
            <w:pPr>
              <w:spacing w:line="264"/>
            </w:pPr>
            <w:r>
              <w:rPr>
                <w:rFonts w:ascii="Courier New" w:eastAsia="Microsoft YaHei"/>
                <w:color w:val="24344A"/>
                <w:sz w:val="18"/>
                <w:szCs w:val="18"/>
              </w:rPr>
              <w:t xml:space="preserve">sudo useradd -r -s /usr/sbin/nologin twinmos</w:t>
            </w:r>
          </w:p>
          <w:p>
            <w:pPr>
              <w:spacing w:line="264"/>
            </w:pPr>
            <w:r>
              <w:rPr>
                <w:rFonts w:ascii="Courier New" w:eastAsia="Microsoft YaHei"/>
                <w:color w:val="24344A"/>
                <w:sz w:val="18"/>
                <w:szCs w:val="18"/>
              </w:rPr>
              <w:t xml:space="preserve">sudo mkdir -p /opt/twinmos/api /var/www/twinmos/web /var/www/twinmos/admin \</w:t>
            </w:r>
          </w:p>
          <w:p>
            <w:pPr>
              <w:spacing w:line="264"/>
            </w:pPr>
            <w:r>
              <w:rPr>
                <w:rFonts w:ascii="Courier New" w:eastAsia="Microsoft YaHei"/>
                <w:color w:val="24344A"/>
                <w:sz w:val="18"/>
                <w:szCs w:val="18"/>
              </w:rPr>
              <w:t xml:space="preserve">             /var/lib/twinmos/partner-files /var/lib/twinmos/media \</w:t>
            </w:r>
          </w:p>
          <w:p>
            <w:pPr>
              <w:spacing w:line="264"/>
            </w:pPr>
            <w:r>
              <w:rPr>
                <w:rFonts w:ascii="Courier New" w:eastAsia="Microsoft YaHei"/>
                <w:color w:val="24344A"/>
                <w:sz w:val="18"/>
                <w:szCs w:val="18"/>
              </w:rPr>
              <w:t xml:space="preserve">             /etc/twinmos /var/backups/twinmos</w:t>
            </w:r>
          </w:p>
          <w:p>
            <w:pPr>
              <w:spacing w:line="264"/>
            </w:pPr>
            <w:r>
              <w:rPr>
                <w:rFonts w:ascii="Courier New" w:eastAsia="Microsoft YaHei"/>
                <w:color w:val="24344A"/>
                <w:sz w:val="18"/>
                <w:szCs w:val="18"/>
              </w:rPr>
              <w:t xml:space="preserve">sudo chown -R twinmos:twinmos /var/lib/twinmos</w:t>
            </w:r>
          </w:p>
          <w:p>
            <w:pPr>
              <w:spacing w:line="264"/>
            </w:pPr>
            <w:r>
              <w:rPr>
                <w:rFonts w:ascii="Courier New" w:eastAsia="Microsoft YaHei"/>
                <w:color w:val="24344A"/>
                <w:sz w:val="18"/>
                <w:szCs w:val="18"/>
              </w:rPr>
              <w:t xml:space="preserve"> </w:t>
            </w:r>
          </w:p>
          <w:p>
            <w:pPr>
              <w:spacing w:line="264"/>
            </w:pPr>
            <w:r>
              <w:rPr>
                <w:rFonts w:ascii="Courier New" w:eastAsia="Microsoft YaHei"/>
                <w:color w:val="24344A"/>
                <w:sz w:val="18"/>
                <w:szCs w:val="18"/>
              </w:rPr>
              <w:t xml:space="preserve"># node 24 + postgres 16 + nginx (nodesource / pgdg / distro)</w:t>
            </w:r>
          </w:p>
        </w:tc>
      </w:tr>
    </w:tbl>
    <w:p>
      <w:pPr>
        <w:pStyle w:val="Heading2"/>
        <w:spacing w:after="120" w:before="300"/>
      </w:pPr>
      <w:bookmarkStart w:id="100058" w:name="_Toc100058"/>
      <w:r>
        <w:rPr>
          <w:rFonts w:ascii="Calibri" w:eastAsia="SimHei"/>
          <w:b/>
          <w:bCs/>
          <w:color w:val="0A1628"/>
          <w:sz w:val="28"/>
          <w:szCs w:val="28"/>
        </w:rPr>
        <w:t xml:space="preserve">7.3 Step 2 — Database</w:t>
      </w:r>
      <w:bookmarkEnd w:id="100058"/>
    </w:p>
    <w:tbl>
      <w:tblPr>
        <w:tblW w:type="pct" w:w="5000"/>
        <w:tblBorders>
          <w:top w:val="single" w:color="DCE3EB" w:sz="4"/>
          <w:left w:val="single" w:color="DCE3EB" w:sz="4"/>
          <w:bottom w:val="single" w:color="DCE3EB" w:sz="4"/>
          <w:right w:val="single" w:color="DCE3EB" w:sz="4"/>
          <w:insideH w:val="none" w:color="FFFFFF" w:sz="0"/>
          <w:insideV w:val="none" w:color="FFFFFF" w:sz="0"/>
        </w:tblBorders>
        <w:tblLayout w:type="fixed"/>
      </w:tblPr>
      <w:tblGrid>
        <w:gridCol w:w="8788"/>
      </w:tblGrid>
      <w:tr>
        <w:tc>
          <w:tcPr>
            <w:shd w:fill="F4F7FA" w:val="clear"/>
            <w:tcMar>
              <w:top w:type="dxa" w:w="120"/>
              <w:left w:type="dxa" w:w="200"/>
              <w:bottom w:type="dxa" w:w="120"/>
              <w:right w:type="dxa" w:w="200"/>
            </w:tcMar>
          </w:tcPr>
          <w:p>
            <w:pPr>
              <w:spacing w:line="264"/>
            </w:pPr>
            <w:r>
              <w:rPr>
                <w:rFonts w:ascii="Courier New" w:eastAsia="Microsoft YaHei"/>
                <w:color w:val="24344A"/>
                <w:sz w:val="18"/>
                <w:szCs w:val="18"/>
              </w:rPr>
              <w:t xml:space="preserve">sudo -u postgres createuser twinmos</w:t>
            </w:r>
          </w:p>
          <w:p>
            <w:pPr>
              <w:spacing w:line="264"/>
            </w:pPr>
            <w:r>
              <w:rPr>
                <w:rFonts w:ascii="Courier New" w:eastAsia="Microsoft YaHei"/>
                <w:color w:val="24344A"/>
                <w:sz w:val="18"/>
                <w:szCs w:val="18"/>
              </w:rPr>
              <w:t xml:space="preserve">sudo -u postgres createdb twinmos -O twinmos</w:t>
            </w:r>
          </w:p>
          <w:p>
            <w:pPr>
              <w:spacing w:line="264"/>
            </w:pPr>
            <w:r>
              <w:rPr>
                <w:rFonts w:ascii="Courier New" w:eastAsia="Microsoft YaHei"/>
                <w:color w:val="24344A"/>
                <w:sz w:val="18"/>
                <w:szCs w:val="18"/>
              </w:rPr>
              <w:t xml:space="preserve"># Enable WAL archiving (archive_command -&gt; B2/backup volume) — see docs/runbooks/DR.md</w:t>
            </w:r>
          </w:p>
        </w:tc>
      </w:tr>
    </w:tbl>
    <w:p>
      <w:pPr>
        <w:pStyle w:val="Heading2"/>
        <w:spacing w:after="120" w:before="300"/>
      </w:pPr>
      <w:bookmarkStart w:id="100059" w:name="_Toc100059"/>
      <w:r>
        <w:rPr>
          <w:rFonts w:ascii="Calibri" w:eastAsia="SimHei"/>
          <w:b/>
          <w:bCs/>
          <w:color w:val="0A1628"/>
          <w:sz w:val="28"/>
          <w:szCs w:val="28"/>
        </w:rPr>
        <w:t xml:space="preserve">7.4 Step 3 — API Service</w:t>
      </w:r>
      <w:bookmarkEnd w:id="100059"/>
    </w:p>
    <w:p>
      <w:pPr>
        <w:pStyle w:val="ListParagraph"/>
        <w:numPr>
          <w:ilvl w:val="0"/>
          <w:numId w:val="18"/>
        </w:numPr>
        <w:spacing w:after="60" w:line="312"/>
      </w:pPr>
      <w:r>
        <w:rPr>
          <w:rFonts w:ascii="Calibri" w:eastAsia="Microsoft YaHei"/>
          <w:color w:val="1A2B40"/>
          <w:sz w:val="22"/>
          <w:szCs w:val="22"/>
        </w:rPr>
        <w:t xml:space="preserve">Ship the repository (git clone or rsync) to the VM, then install API dependencies: </w:t>
      </w:r>
      <w:r>
        <w:rPr>
          <w:rFonts w:ascii="Courier New" w:eastAsia="Microsoft YaHei"/>
          <w:color w:val="0E9F7E"/>
          <w:sz w:val="19"/>
          <w:szCs w:val="19"/>
        </w:rPr>
        <w:t xml:space="preserve">cd apps/api &amp;&amp; npm ci --omit=dev</w:t>
      </w:r>
      <w:r>
        <w:rPr>
          <w:rFonts w:ascii="Calibri" w:eastAsia="Microsoft YaHei"/>
          <w:color w:val="1A2B40"/>
          <w:sz w:val="22"/>
          <w:szCs w:val="22"/>
        </w:rPr>
        <w:t xml:space="preserve">.</w:t>
      </w:r>
    </w:p>
    <w:p>
      <w:pPr>
        <w:pStyle w:val="ListParagraph"/>
        <w:numPr>
          <w:ilvl w:val="0"/>
          <w:numId w:val="18"/>
        </w:numPr>
        <w:spacing w:after="60" w:line="312"/>
      </w:pPr>
      <w:r>
        <w:rPr>
          <w:rFonts w:ascii="Calibri" w:eastAsia="Microsoft YaHei"/>
          <w:color w:val="1A2B40"/>
          <w:sz w:val="22"/>
          <w:szCs w:val="22"/>
        </w:rPr>
        <w:t xml:space="preserve">Create the secrets file from the template — </w:t>
      </w:r>
      <w:r>
        <w:rPr>
          <w:rFonts w:ascii="Courier New" w:eastAsia="Microsoft YaHei"/>
          <w:color w:val="0E9F7E"/>
          <w:sz w:val="19"/>
          <w:szCs w:val="19"/>
        </w:rPr>
        <w:t xml:space="preserve">sudo $EDITOR /etc/twinmos/api.env</w:t>
      </w:r>
      <w:r>
        <w:rPr>
          <w:rFonts w:ascii="Calibri" w:eastAsia="Microsoft YaHei"/>
          <w:color w:val="1A2B40"/>
          <w:sz w:val="22"/>
          <w:szCs w:val="22"/>
        </w:rPr>
        <w:t xml:space="preserve"> copying </w:t>
      </w:r>
      <w:r>
        <w:rPr>
          <w:rFonts w:ascii="Courier New" w:eastAsia="Microsoft YaHei"/>
          <w:color w:val="0E9F7E"/>
          <w:sz w:val="19"/>
          <w:szCs w:val="19"/>
        </w:rPr>
        <w:t xml:space="preserve">.env.production.example</w:t>
      </w:r>
      <w:r>
        <w:rPr>
          <w:rFonts w:ascii="Calibri" w:eastAsia="Microsoft YaHei"/>
          <w:color w:val="1A2B40"/>
          <w:sz w:val="22"/>
          <w:szCs w:val="22"/>
        </w:rPr>
        <w:t xml:space="preserve">, chmod 600. Fill every value: DATABASE_URL, BETTER_AUTH_URL=https://www.twinmos.com, BETTER_AUTH_SECRET, ALLOWED_ORIGIN, TRUST_PROXY=1, RESEND_API_KEY, MAIL_FROM, FORMS_TO, TURNSTILE_SECRET_KEY, upload dirs. All secrets come from the secret store — never commit filled copies.</w:t>
      </w:r>
    </w:p>
    <w:p>
      <w:pPr>
        <w:pStyle w:val="ListParagraph"/>
        <w:numPr>
          <w:ilvl w:val="0"/>
          <w:numId w:val="18"/>
        </w:numPr>
        <w:spacing w:after="60" w:line="312"/>
      </w:pPr>
      <w:r>
        <w:rPr>
          <w:rFonts w:ascii="Calibri" w:eastAsia="Microsoft YaHei"/>
          <w:color w:val="1A2B40"/>
          <w:sz w:val="22"/>
          <w:szCs w:val="22"/>
        </w:rPr>
        <w:t xml:space="preserve">Migrate and seed: </w:t>
      </w:r>
      <w:r>
        <w:rPr>
          <w:rFonts w:ascii="Courier New" w:eastAsia="Microsoft YaHei"/>
          <w:color w:val="0E9F7E"/>
          <w:sz w:val="19"/>
          <w:szCs w:val="19"/>
        </w:rPr>
        <w:t xml:space="preserve">export $(cat /etc/twinmos/api.env | xargs) &amp;&amp; npm run db:migrate &amp;&amp; npm run db:seed</w:t>
      </w:r>
      <w:r>
        <w:rPr>
          <w:rFonts w:ascii="Calibri" w:eastAsia="Microsoft YaHei"/>
          <w:color w:val="1A2B40"/>
          <w:sz w:val="22"/>
          <w:szCs w:val="22"/>
        </w:rPr>
        <w:t xml:space="preserve"> (seed on first boot only; rotate the seeded admin password at first sign-in).</w:t>
      </w:r>
    </w:p>
    <w:p>
      <w:pPr>
        <w:pStyle w:val="ListParagraph"/>
        <w:numPr>
          <w:ilvl w:val="0"/>
          <w:numId w:val="18"/>
        </w:numPr>
        <w:spacing w:after="60" w:line="312"/>
      </w:pPr>
      <w:r>
        <w:rPr>
          <w:rFonts w:ascii="Calibri" w:eastAsia="Microsoft YaHei"/>
          <w:color w:val="1A2B40"/>
          <w:sz w:val="22"/>
          <w:szCs w:val="22"/>
        </w:rPr>
        <w:t xml:space="preserve">Install and start the service: </w:t>
      </w:r>
      <w:r>
        <w:rPr>
          <w:rFonts w:ascii="Courier New" w:eastAsia="Microsoft YaHei"/>
          <w:color w:val="0E9F7E"/>
          <w:sz w:val="19"/>
          <w:szCs w:val="19"/>
        </w:rPr>
        <w:t xml:space="preserve">sudo cp deploy/systemd/twinmos-api.service /etc/systemd/system/ &amp;&amp; sudo systemctl daemon-reload &amp;&amp; sudo systemctl enable --now twinmos-api</w:t>
      </w:r>
      <w:r>
        <w:rPr>
          <w:rFonts w:ascii="Calibri" w:eastAsia="Microsoft YaHei"/>
          <w:color w:val="1A2B40"/>
          <w:sz w:val="22"/>
          <w:szCs w:val="22"/>
        </w:rPr>
        <w:t xml:space="preserve">.</w:t>
      </w:r>
    </w:p>
    <w:p>
      <w:pPr>
        <w:pStyle w:val="ListParagraph"/>
        <w:numPr>
          <w:ilvl w:val="0"/>
          <w:numId w:val="18"/>
        </w:numPr>
        <w:spacing w:after="60" w:line="312"/>
      </w:pPr>
      <w:r>
        <w:rPr>
          <w:rFonts w:ascii="Calibri" w:eastAsia="Microsoft YaHei"/>
          <w:color w:val="1A2B40"/>
          <w:sz w:val="22"/>
          <w:szCs w:val="22"/>
        </w:rPr>
        <w:t xml:space="preserve">Verify: </w:t>
      </w:r>
      <w:r>
        <w:rPr>
          <w:rFonts w:ascii="Courier New" w:eastAsia="Microsoft YaHei"/>
          <w:color w:val="0E9F7E"/>
          <w:sz w:val="19"/>
          <w:szCs w:val="19"/>
        </w:rPr>
        <w:t xml:space="preserve">curl -s http://127.0.0.1:8787/api/v1/health</w:t>
      </w:r>
      <w:r>
        <w:rPr>
          <w:rFonts w:ascii="Calibri" w:eastAsia="Microsoft YaHei"/>
          <w:color w:val="1A2B40"/>
          <w:sz w:val="22"/>
          <w:szCs w:val="22"/>
        </w:rPr>
        <w:t xml:space="preserve"> must return </w:t>
      </w:r>
      <w:r>
        <w:rPr>
          <w:rFonts w:ascii="Courier New" w:eastAsia="Microsoft YaHei"/>
          <w:color w:val="0E9F7E"/>
          <w:sz w:val="19"/>
          <w:szCs w:val="19"/>
        </w:rPr>
        <w:t xml:space="preserve">{"status":"ok"}</w:t>
      </w:r>
      <w:r>
        <w:rPr>
          <w:rFonts w:ascii="Calibri" w:eastAsia="Microsoft YaHei"/>
          <w:color w:val="1A2B40"/>
          <w:sz w:val="22"/>
          <w:szCs w:val="22"/>
        </w:rPr>
        <w:t xml:space="preserve">.</w:t>
      </w:r>
    </w:p>
    <w:tbl>
      <w:tblPr>
        <w:tblW w:type="pct" w:w="5000"/>
        <w:tblBorders>
          <w:top w:val="none" w:color="FFFFFF" w:sz="0"/>
          <w:left w:val="single" w:color="B45309" w:sz="16"/>
          <w:bottom w:val="none" w:color="FFFFFF" w:sz="0"/>
          <w:right w:val="none" w:color="FFFFFF" w:sz="0"/>
          <w:insideH w:val="single" w:color="auto" w:sz="4"/>
          <w:insideV w:val="single" w:color="auto" w:sz="4"/>
        </w:tblBorders>
        <w:tblLayout w:type="fixed"/>
      </w:tblPr>
      <w:tblGrid>
        <w:gridCol w:w="8788"/>
      </w:tblGrid>
      <w:tr>
        <w:tc>
          <w:tcPr>
            <w:shd w:fill="FDF6EC" w:val="clear"/>
            <w:tcMar>
              <w:top w:type="dxa" w:w="100"/>
              <w:left w:type="dxa" w:w="200"/>
              <w:bottom w:type="dxa" w:w="100"/>
              <w:right w:type="dxa" w:w="160"/>
            </w:tcMar>
          </w:tcPr>
          <w:p>
            <w:pPr>
              <w:spacing w:line="300"/>
            </w:pPr>
            <w:r>
              <w:rPr>
                <w:rFonts w:ascii="Calibri" w:eastAsia="Microsoft YaHei"/>
                <w:b/>
                <w:bCs/>
                <w:color w:val="B45309"/>
                <w:sz w:val="20"/>
                <w:szCs w:val="20"/>
              </w:rPr>
              <w:t xml:space="preserve">IMPORTANT — </w:t>
            </w:r>
            <w:r>
              <w:rPr>
                <w:rFonts w:ascii="Calibri" w:eastAsia="Microsoft YaHei"/>
                <w:color w:val="1A2B40"/>
                <w:sz w:val="20"/>
                <w:szCs w:val="20"/>
              </w:rPr>
              <w:t xml:space="preserve">The systemd unit ships hardened (NoNewPrivileges, ProtectSystem=strict, ReadWritePaths limited to /var/lib/twinmos and the api data dir). Do not weaken these directives to work around permission errors — fix the path ownership instead.</w:t>
            </w:r>
          </w:p>
        </w:tc>
      </w:tr>
    </w:tbl>
    <w:p>
      <w:pPr>
        <w:pStyle w:val="Heading2"/>
        <w:spacing w:after="120" w:before="300"/>
      </w:pPr>
      <w:bookmarkStart w:id="100060" w:name="_Toc100060"/>
      <w:r>
        <w:rPr>
          <w:rFonts w:ascii="Calibri" w:eastAsia="SimHei"/>
          <w:b/>
          <w:bCs/>
          <w:color w:val="0A1628"/>
          <w:sz w:val="28"/>
          <w:szCs w:val="28"/>
        </w:rPr>
        <w:t xml:space="preserve">7.5 Step 4 — Web + Admin Static Bundles</w:t>
      </w:r>
      <w:bookmarkEnd w:id="100060"/>
    </w:p>
    <w:p>
      <w:pPr>
        <w:pStyle w:val="ListParagraph"/>
        <w:numPr>
          <w:ilvl w:val="0"/>
          <w:numId w:val="19"/>
        </w:numPr>
        <w:spacing w:after="60" w:line="312"/>
      </w:pPr>
      <w:r>
        <w:rPr>
          <w:rFonts w:ascii="Calibri" w:eastAsia="Microsoft YaHei"/>
          <w:color w:val="1A2B40"/>
          <w:sz w:val="22"/>
          <w:szCs w:val="22"/>
        </w:rPr>
        <w:t xml:space="preserve">Build on a clean clone. The web build bakes environment into HTML: </w:t>
      </w:r>
      <w:r>
        <w:rPr>
          <w:rFonts w:ascii="Courier New" w:eastAsia="Microsoft YaHei"/>
          <w:color w:val="0E9F7E"/>
          <w:sz w:val="19"/>
          <w:szCs w:val="19"/>
        </w:rPr>
        <w:t xml:space="preserve">PUBLIC_API_URL</w:t>
      </w:r>
      <w:r>
        <w:rPr>
          <w:rFonts w:ascii="Calibri" w:eastAsia="Microsoft YaHei"/>
          <w:color w:val="1A2B40"/>
          <w:sz w:val="22"/>
          <w:szCs w:val="22"/>
        </w:rPr>
        <w:t xml:space="preserve"> must stay </w:t>
      </w:r>
      <w:r>
        <w:rPr>
          <w:rFonts w:ascii="Calibri" w:eastAsia="Microsoft YaHei"/>
          <w:b/>
          <w:bCs/>
          <w:color w:val="0A1628"/>
          <w:sz w:val="22"/>
          <w:szCs w:val="22"/>
        </w:rPr>
        <w:t xml:space="preserve">unset</w:t>
      </w:r>
      <w:r>
        <w:rPr>
          <w:rFonts w:ascii="Calibri" w:eastAsia="Microsoft YaHei"/>
          <w:color w:val="1A2B40"/>
          <w:sz w:val="22"/>
          <w:szCs w:val="22"/>
        </w:rPr>
        <w:t xml:space="preserve"> (empty = same-origin /api/v1 behind nginx, exactly correct). Only the Turnstile site key needs setting — on Linux: </w:t>
      </w:r>
      <w:r>
        <w:rPr>
          <w:rFonts w:ascii="Courier New" w:eastAsia="Microsoft YaHei"/>
          <w:color w:val="0E9F7E"/>
          <w:sz w:val="19"/>
          <w:szCs w:val="19"/>
        </w:rPr>
        <w:t xml:space="preserve">PUBLIC_TURNSTILE_SITE_KEY=0xXXXX npm run build</w:t>
      </w:r>
      <w:r>
        <w:rPr>
          <w:rFonts w:ascii="Calibri" w:eastAsia="Microsoft YaHei"/>
          <w:color w:val="1A2B40"/>
          <w:sz w:val="22"/>
          <w:szCs w:val="22"/>
        </w:rPr>
        <w:t xml:space="preserve">; or place it in apps/web/.env (gitignored). A guard aborts the production build if a stray apps/web/.env is present.</w:t>
      </w:r>
    </w:p>
    <w:tbl>
      <w:tblPr>
        <w:tblW w:type="pct" w:w="5000"/>
        <w:tblBorders>
          <w:top w:val="none" w:color="FFFFFF" w:sz="0"/>
          <w:left w:val="single" w:color="C2453C" w:sz="16"/>
          <w:bottom w:val="none" w:color="FFFFFF" w:sz="0"/>
          <w:right w:val="none" w:color="FFFFFF" w:sz="0"/>
          <w:insideH w:val="single" w:color="auto" w:sz="4"/>
          <w:insideV w:val="single" w:color="auto" w:sz="4"/>
        </w:tblBorders>
        <w:tblLayout w:type="fixed"/>
      </w:tblPr>
      <w:tblGrid>
        <w:gridCol w:w="8788"/>
      </w:tblGrid>
      <w:tr>
        <w:tc>
          <w:tcPr>
            <w:shd w:fill="FDF0EF" w:val="clear"/>
            <w:tcMar>
              <w:top w:type="dxa" w:w="100"/>
              <w:left w:type="dxa" w:w="200"/>
              <w:bottom w:type="dxa" w:w="100"/>
              <w:right w:type="dxa" w:w="160"/>
            </w:tcMar>
          </w:tcPr>
          <w:p>
            <w:pPr>
              <w:spacing w:line="300"/>
            </w:pPr>
            <w:r>
              <w:rPr>
                <w:rFonts w:ascii="Calibri" w:eastAsia="Microsoft YaHei"/>
                <w:b/>
                <w:bCs/>
                <w:color w:val="C2453C"/>
                <w:sz w:val="20"/>
                <w:szCs w:val="20"/>
              </w:rPr>
              <w:t xml:space="preserve">WARNING — </w:t>
            </w:r>
            <w:r>
              <w:rPr>
                <w:rFonts w:ascii="Calibri" w:eastAsia="Microsoft YaHei"/>
                <w:color w:val="1A2B40"/>
                <w:sz w:val="20"/>
                <w:szCs w:val="20"/>
              </w:rPr>
              <w:t xml:space="preserve">Never assign PUBLIC_API_URL=/api/v1 as a shell variable on Git Bash / Windows — MSYS rewrites the leading slash into a Windows path (C:/Program Files/Git/api/v1) which gets baked into the HTML. Build from a clean clone or use apps/web/.env.</w:t>
            </w:r>
          </w:p>
        </w:tc>
      </w:tr>
    </w:tbl>
    <w:p>
      <w:pPr>
        <w:pStyle w:val="ListParagraph"/>
        <w:numPr>
          <w:ilvl w:val="0"/>
          <w:numId w:val="20"/>
        </w:numPr>
        <w:spacing w:after="60" w:line="312"/>
      </w:pPr>
      <w:r>
        <w:rPr>
          <w:rFonts w:ascii="Courier New" w:eastAsia="Microsoft YaHei"/>
          <w:color w:val="0E9F7E"/>
          <w:sz w:val="19"/>
          <w:szCs w:val="19"/>
        </w:rPr>
        <w:t xml:space="preserve">cd apps/web &amp;&amp; npm ci &amp;&amp; npm run build</w:t>
      </w:r>
      <w:r>
        <w:rPr>
          <w:rFonts w:ascii="Calibri" w:eastAsia="Microsoft YaHei"/>
          <w:color w:val="1A2B40"/>
          <w:sz w:val="22"/>
          <w:szCs w:val="22"/>
        </w:rPr>
        <w:t xml:space="preserve">  (the prebuild step syncs vendored assets and runs the CMS content export automatically)</w:t>
      </w:r>
    </w:p>
    <w:p>
      <w:pPr>
        <w:pStyle w:val="ListParagraph"/>
        <w:numPr>
          <w:ilvl w:val="0"/>
          <w:numId w:val="20"/>
        </w:numPr>
        <w:spacing w:after="60" w:line="312"/>
      </w:pPr>
      <w:r>
        <w:rPr>
          <w:rFonts w:ascii="Courier New" w:eastAsia="Microsoft YaHei"/>
          <w:color w:val="0E9F7E"/>
          <w:sz w:val="19"/>
          <w:szCs w:val="19"/>
        </w:rPr>
        <w:t xml:space="preserve">cd ../admin &amp;&amp; npm ci &amp;&amp; npm run build</w:t>
      </w:r>
    </w:p>
    <w:p>
      <w:pPr>
        <w:pStyle w:val="ListParagraph"/>
        <w:numPr>
          <w:ilvl w:val="0"/>
          <w:numId w:val="20"/>
        </w:numPr>
        <w:spacing w:after="60" w:line="312"/>
      </w:pPr>
      <w:r>
        <w:rPr>
          <w:rFonts w:ascii="Courier New" w:eastAsia="Microsoft YaHei"/>
          <w:color w:val="0E9F7E"/>
          <w:sz w:val="19"/>
          <w:szCs w:val="19"/>
        </w:rPr>
        <w:t xml:space="preserve">sudo rsync -a --delete apps/web/dist/  /var/www/twinmos/web/</w:t>
      </w:r>
      <w:r>
        <w:rPr>
          <w:rFonts w:ascii="Calibri" w:eastAsia="Microsoft YaHei"/>
          <w:color w:val="1A2B40"/>
          <w:sz w:val="22"/>
          <w:szCs w:val="22"/>
        </w:rPr>
        <w:t xml:space="preserve"> and </w:t>
      </w:r>
      <w:r>
        <w:rPr>
          <w:rFonts w:ascii="Courier New" w:eastAsia="Microsoft YaHei"/>
          <w:color w:val="0E9F7E"/>
          <w:sz w:val="19"/>
          <w:szCs w:val="19"/>
        </w:rPr>
        <w:t xml:space="preserve">sudo rsync -a --delete apps/admin/dist/ /var/www/twinmos/admin/</w:t>
      </w:r>
    </w:p>
    <w:p>
      <w:pPr>
        <w:pStyle w:val="Heading2"/>
        <w:spacing w:after="120" w:before="300"/>
      </w:pPr>
      <w:bookmarkStart w:id="100061" w:name="_Toc100061"/>
      <w:r>
        <w:rPr>
          <w:rFonts w:ascii="Calibri" w:eastAsia="SimHei"/>
          <w:b/>
          <w:bCs/>
          <w:color w:val="0A1628"/>
          <w:sz w:val="28"/>
          <w:szCs w:val="28"/>
        </w:rPr>
        <w:t xml:space="preserve">7.6 Content Export and Rebuild Cycle</w:t>
      </w:r>
      <w:bookmarkEnd w:id="100061"/>
    </w:p>
    <w:p>
      <w:pPr>
        <w:spacing w:after="120" w:line="312"/>
        <w:jc w:val="both"/>
      </w:pPr>
      <w:r>
        <w:rPr>
          <w:rFonts w:ascii="Calibri" w:eastAsia="Microsoft YaHei"/>
          <w:color w:val="1A2B40"/>
          <w:sz w:val="22"/>
          <w:szCs w:val="22"/>
        </w:rPr>
        <w:t xml:space="preserve">Published content reaches the static site through </w:t>
      </w:r>
      <w:r>
        <w:rPr>
          <w:rFonts w:ascii="Courier New" w:eastAsia="Microsoft YaHei"/>
          <w:color w:val="0E9F7E"/>
          <w:sz w:val="19"/>
          <w:szCs w:val="19"/>
        </w:rPr>
        <w:t xml:space="preserve">cms-content.js</w:t>
      </w:r>
      <w:r>
        <w:rPr>
          <w:rFonts w:ascii="Calibri" w:eastAsia="Microsoft YaHei"/>
          <w:color w:val="1A2B40"/>
          <w:sz w:val="22"/>
          <w:szCs w:val="22"/>
        </w:rPr>
        <w:t xml:space="preserve">, regenerated by the web build's prebuild. To refresh content without a full redeploy, re-run the exporter and re-sync: </w:t>
      </w:r>
    </w:p>
    <w:tbl>
      <w:tblPr>
        <w:tblW w:type="pct" w:w="5000"/>
        <w:tblBorders>
          <w:top w:val="single" w:color="DCE3EB" w:sz="4"/>
          <w:left w:val="single" w:color="DCE3EB" w:sz="4"/>
          <w:bottom w:val="single" w:color="DCE3EB" w:sz="4"/>
          <w:right w:val="single" w:color="DCE3EB" w:sz="4"/>
          <w:insideH w:val="none" w:color="FFFFFF" w:sz="0"/>
          <w:insideV w:val="none" w:color="FFFFFF" w:sz="0"/>
        </w:tblBorders>
        <w:tblLayout w:type="fixed"/>
      </w:tblPr>
      <w:tblGrid>
        <w:gridCol w:w="8788"/>
      </w:tblGrid>
      <w:tr>
        <w:tc>
          <w:tcPr>
            <w:shd w:fill="F4F7FA" w:val="clear"/>
            <w:tcMar>
              <w:top w:type="dxa" w:w="120"/>
              <w:left w:type="dxa" w:w="200"/>
              <w:bottom w:type="dxa" w:w="120"/>
              <w:right w:type="dxa" w:w="200"/>
            </w:tcMar>
          </w:tcPr>
          <w:p>
            <w:pPr>
              <w:spacing w:line="264"/>
            </w:pPr>
            <w:r>
              <w:rPr>
                <w:rFonts w:ascii="Courier New" w:eastAsia="Microsoft YaHei"/>
                <w:color w:val="24344A"/>
                <w:sz w:val="18"/>
                <w:szCs w:val="18"/>
              </w:rPr>
              <w:t xml:space="preserve">cd /opt/twinmos/repo</w:t>
            </w:r>
          </w:p>
          <w:p>
            <w:pPr>
              <w:spacing w:line="264"/>
            </w:pPr>
            <w:r>
              <w:rPr>
                <w:rFonts w:ascii="Courier New" w:eastAsia="Microsoft YaHei"/>
                <w:color w:val="24344A"/>
                <w:sz w:val="18"/>
                <w:szCs w:val="18"/>
              </w:rPr>
              <w:t xml:space="preserve">PGLITE_DATA='' DATABASE_URL=$DATABASE_URL node --experimental-strip-types \</w:t>
            </w:r>
          </w:p>
          <w:p>
            <w:pPr>
              <w:spacing w:line="264"/>
            </w:pPr>
            <w:r>
              <w:rPr>
                <w:rFonts w:ascii="Courier New" w:eastAsia="Microsoft YaHei"/>
                <w:color w:val="24344A"/>
                <w:sz w:val="18"/>
                <w:szCs w:val="18"/>
              </w:rPr>
              <w:t xml:space="preserve">     --no-warnings tooling/export-content.mjs   # regenerates cms-content.js</w:t>
            </w:r>
          </w:p>
          <w:p>
            <w:pPr>
              <w:spacing w:line="264"/>
            </w:pPr>
            <w:r>
              <w:rPr>
                <w:rFonts w:ascii="Courier New" w:eastAsia="Microsoft YaHei"/>
                <w:color w:val="24344A"/>
                <w:sz w:val="18"/>
                <w:szCs w:val="18"/>
              </w:rPr>
              <w:t xml:space="preserve">sudo rsync -a apps/web/public/assets/js/cms-content.js /var/www/twinmos/web/assets/js/</w:t>
            </w:r>
          </w:p>
        </w:tc>
      </w:tr>
    </w:tbl>
    <w:p>
      <w:pPr>
        <w:spacing w:after="120" w:line="312"/>
        <w:jc w:val="both"/>
      </w:pPr>
      <w:r>
        <w:rPr>
          <w:rFonts w:ascii="Calibri" w:eastAsia="Microsoft YaHei"/>
          <w:color w:val="1A2B40"/>
          <w:sz w:val="22"/>
          <w:szCs w:val="22"/>
        </w:rPr>
        <w:t xml:space="preserve">(In development the same command runs with PGLITE_DATA pointing at the embedded database and the API stopped — single-writer discipline; the command is documented in the repo README.)</w:t>
      </w:r>
    </w:p>
    <w:p>
      <w:pPr>
        <w:pStyle w:val="Heading2"/>
        <w:spacing w:after="120" w:before="300"/>
      </w:pPr>
      <w:bookmarkStart w:id="100062" w:name="_Toc100062"/>
      <w:r>
        <w:rPr>
          <w:rFonts w:ascii="Calibri" w:eastAsia="SimHei"/>
          <w:b/>
          <w:bCs/>
          <w:color w:val="0A1628"/>
          <w:sz w:val="28"/>
          <w:szCs w:val="28"/>
        </w:rPr>
        <w:t xml:space="preserve">7.7 Step 5 — nginx + Cloudflare</w:t>
      </w:r>
      <w:bookmarkEnd w:id="100062"/>
    </w:p>
    <w:p>
      <w:pPr>
        <w:pStyle w:val="ListParagraph"/>
        <w:numPr>
          <w:ilvl w:val="0"/>
          <w:numId w:val="21"/>
        </w:numPr>
        <w:spacing w:after="60" w:line="312"/>
      </w:pPr>
      <w:r>
        <w:rPr>
          <w:rFonts w:ascii="Courier New" w:eastAsia="Microsoft YaHei"/>
          <w:color w:val="0E9F7E"/>
          <w:sz w:val="19"/>
          <w:szCs w:val="19"/>
        </w:rPr>
        <w:t xml:space="preserve">sudo cp deploy/nginx/twinmos.conf /etc/nginx/sites-available/twinmos.conf</w:t>
      </w:r>
      <w:r>
        <w:rPr>
          <w:rFonts w:ascii="Calibri" w:eastAsia="Microsoft YaHei"/>
          <w:color w:val="1A2B40"/>
          <w:sz w:val="22"/>
          <w:szCs w:val="22"/>
        </w:rPr>
        <w:t xml:space="preserve"> and symlink into sites-enabled; then </w:t>
      </w:r>
      <w:r>
        <w:rPr>
          <w:rFonts w:ascii="Courier New" w:eastAsia="Microsoft YaHei"/>
          <w:color w:val="0E9F7E"/>
          <w:sz w:val="19"/>
          <w:szCs w:val="19"/>
        </w:rPr>
        <w:t xml:space="preserve">sudo nginx -t &amp;&amp; sudo systemctl reload nginx</w:t>
      </w:r>
      <w:r>
        <w:rPr>
          <w:rFonts w:ascii="Calibri" w:eastAsia="Microsoft YaHei"/>
          <w:color w:val="1A2B40"/>
          <w:sz w:val="22"/>
          <w:szCs w:val="22"/>
        </w:rPr>
        <w:t xml:space="preserve">.</w:t>
      </w:r>
    </w:p>
    <w:p>
      <w:pPr>
        <w:pStyle w:val="ListParagraph"/>
        <w:numPr>
          <w:ilvl w:val="0"/>
          <w:numId w:val="21"/>
        </w:numPr>
        <w:spacing w:after="60" w:line="312"/>
      </w:pPr>
      <w:r>
        <w:rPr>
          <w:rFonts w:ascii="Calibri" w:eastAsia="Microsoft YaHei"/>
          <w:color w:val="1A2B40"/>
          <w:sz w:val="22"/>
          <w:szCs w:val="22"/>
        </w:rPr>
        <w:t xml:space="preserve">Point Cloudflare DNS at the VM (proxied). Edge settings: TLS Full (strict), Brotli, and an origin certificate installed at </w:t>
      </w:r>
      <w:r>
        <w:rPr>
          <w:rFonts w:ascii="Courier New" w:eastAsia="Microsoft YaHei"/>
          <w:color w:val="0E9F7E"/>
          <w:sz w:val="19"/>
          <w:szCs w:val="19"/>
        </w:rPr>
        <w:t xml:space="preserve">/etc/nginx/certs/twinmos.pem</w:t>
      </w:r>
      <w:r>
        <w:rPr>
          <w:rFonts w:ascii="Calibri" w:eastAsia="Microsoft YaHei"/>
          <w:color w:val="1A2B40"/>
          <w:sz w:val="22"/>
          <w:szCs w:val="22"/>
        </w:rPr>
        <w:t xml:space="preserve">.</w:t>
      </w:r>
    </w:p>
    <w:p>
      <w:pPr>
        <w:pStyle w:val="ListParagraph"/>
        <w:numPr>
          <w:ilvl w:val="0"/>
          <w:numId w:val="21"/>
        </w:numPr>
        <w:spacing w:after="60" w:line="312"/>
      </w:pPr>
      <w:r>
        <w:rPr>
          <w:rFonts w:ascii="Calibri" w:eastAsia="Microsoft YaHei"/>
          <w:color w:val="1A2B40"/>
          <w:sz w:val="22"/>
          <w:szCs w:val="22"/>
        </w:rPr>
        <w:t xml:space="preserve">Confirm </w:t>
      </w:r>
      <w:r>
        <w:rPr>
          <w:rFonts w:ascii="Courier New" w:eastAsia="Microsoft YaHei"/>
          <w:color w:val="0E9F7E"/>
          <w:sz w:val="19"/>
          <w:szCs w:val="19"/>
        </w:rPr>
        <w:t xml:space="preserve">TRUST_PROXY=1</w:t>
      </w:r>
      <w:r>
        <w:rPr>
          <w:rFonts w:ascii="Calibri" w:eastAsia="Microsoft YaHei"/>
          <w:color w:val="1A2B40"/>
          <w:sz w:val="22"/>
          <w:szCs w:val="22"/>
        </w:rPr>
        <w:t xml:space="preserve"> is set in the api env (it ships in the template) so rate limiting reads cf-connecting-ip instead of the proxy address.</w:t>
      </w:r>
    </w:p>
    <w:p>
      <w:pPr>
        <w:spacing w:after="120" w:line="312"/>
        <w:jc w:val="both"/>
      </w:pPr>
      <w:r>
        <w:rPr>
          <w:rFonts w:ascii="Calibri" w:eastAsia="Microsoft YaHei"/>
          <w:color w:val="1A2B40"/>
          <w:sz w:val="22"/>
          <w:szCs w:val="22"/>
        </w:rPr>
        <w:t xml:space="preserve">The shipped nginx config handles: one-origin routing (static web, /admin SPA with immutable hashed assets, /api/ proxy), the full security-header set, gzip, a 30 r/s coarse API guard, a 30 MB body cap, and the branded 404 page.</w:t>
      </w:r>
    </w:p>
    <w:p>
      <w:pPr>
        <w:pStyle w:val="Heading2"/>
        <w:spacing w:after="120" w:before="300"/>
      </w:pPr>
      <w:bookmarkStart w:id="100063" w:name="_Toc100063"/>
      <w:r>
        <w:rPr>
          <w:rFonts w:ascii="Calibri" w:eastAsia="SimHei"/>
          <w:b/>
          <w:bCs/>
          <w:color w:val="0A1628"/>
          <w:sz w:val="28"/>
          <w:szCs w:val="28"/>
        </w:rPr>
        <w:t xml:space="preserve">7.8 Step 6 — Backups and DR</w:t>
      </w:r>
      <w:bookmarkEnd w:id="100063"/>
    </w:p>
    <w:tbl>
      <w:tblPr>
        <w:tblW w:type="pct" w:w="5000"/>
        <w:tblBorders>
          <w:top w:val="single" w:color="DCE3EB" w:sz="4"/>
          <w:left w:val="single" w:color="DCE3EB" w:sz="4"/>
          <w:bottom w:val="single" w:color="DCE3EB" w:sz="4"/>
          <w:right w:val="single" w:color="DCE3EB" w:sz="4"/>
          <w:insideH w:val="none" w:color="FFFFFF" w:sz="0"/>
          <w:insideV w:val="none" w:color="FFFFFF" w:sz="0"/>
        </w:tblBorders>
        <w:tblLayout w:type="fixed"/>
      </w:tblPr>
      <w:tblGrid>
        <w:gridCol w:w="8788"/>
      </w:tblGrid>
      <w:tr>
        <w:tc>
          <w:tcPr>
            <w:shd w:fill="F4F7FA" w:val="clear"/>
            <w:tcMar>
              <w:top w:type="dxa" w:w="120"/>
              <w:left w:type="dxa" w:w="200"/>
              <w:bottom w:type="dxa" w:w="120"/>
              <w:right w:type="dxa" w:w="200"/>
            </w:tcMar>
          </w:tcPr>
          <w:p>
            <w:pPr>
              <w:spacing w:line="264"/>
            </w:pPr>
            <w:r>
              <w:rPr>
                <w:rFonts w:ascii="Courier New" w:eastAsia="Microsoft YaHei"/>
                <w:color w:val="24344A"/>
                <w:sz w:val="18"/>
                <w:szCs w:val="18"/>
              </w:rPr>
              <w:t xml:space="preserve">sudo cp deploy/backup.sh /opt/twinmos/ &amp;&amp; sudo chmod 700 /opt/twinmos/backup.sh</w:t>
            </w:r>
          </w:p>
          <w:p>
            <w:pPr>
              <w:spacing w:line="264"/>
            </w:pPr>
            <w:r>
              <w:rPr>
                <w:rFonts w:ascii="Courier New" w:eastAsia="Microsoft YaHei"/>
                <w:color w:val="24344A"/>
                <w:sz w:val="18"/>
                <w:szCs w:val="18"/>
              </w:rPr>
              <w:t xml:space="preserve"># cron (root): 15 2 * * * BACKUP_ROOT=/var/backups/twinmos DATABASE_URL=... /opt/twinmos/backup.sh</w:t>
            </w:r>
          </w:p>
          <w:p>
            <w:pPr>
              <w:spacing w:line="264"/>
            </w:pPr>
            <w:r>
              <w:rPr>
                <w:rFonts w:ascii="Courier New" w:eastAsia="Microsoft YaHei"/>
                <w:color w:val="24344A"/>
                <w:sz w:val="18"/>
                <w:szCs w:val="18"/>
              </w:rPr>
              <w:t xml:space="preserve"># restore: deploy/restore.sh  (production restore asks for the stamp; --drill restores to a throwaway DB)</w:t>
            </w:r>
          </w:p>
        </w:tc>
      </w:tr>
    </w:tbl>
    <w:p>
      <w:pPr>
        <w:spacing w:after="120" w:line="312"/>
        <w:jc w:val="both"/>
      </w:pPr>
      <w:r>
        <w:rPr>
          <w:rFonts w:ascii="Calibri" w:eastAsia="Microsoft YaHei"/>
          <w:color w:val="1A2B40"/>
          <w:sz w:val="22"/>
          <w:szCs w:val="22"/>
        </w:rPr>
        <w:t xml:space="preserve">Targets: RTO 4 hours / RPO 15 minutes. DR.md documents the quarterly drill procedure; a local drill equivalent (tooling/dr-drill.mjs) is already recorded green in the phase evidence.</w:t>
      </w:r>
    </w:p>
    <w:p>
      <w:pPr>
        <w:pStyle w:val="Heading2"/>
        <w:spacing w:after="120" w:before="300"/>
      </w:pPr>
      <w:bookmarkStart w:id="100064" w:name="_Toc100064"/>
      <w:r>
        <w:rPr>
          <w:rFonts w:ascii="Calibri" w:eastAsia="SimHei"/>
          <w:b/>
          <w:bCs/>
          <w:color w:val="0A1628"/>
          <w:sz w:val="28"/>
          <w:szCs w:val="28"/>
        </w:rPr>
        <w:t xml:space="preserve">7.9 Step 7 — Cutover Checklist</w:t>
      </w:r>
      <w:bookmarkEnd w:id="100064"/>
    </w:p>
    <w:p>
      <w:pPr>
        <w:pStyle w:val="ListParagraph"/>
        <w:numPr>
          <w:ilvl w:val="0"/>
          <w:numId w:val="22"/>
        </w:numPr>
        <w:spacing w:after="60" w:line="312"/>
      </w:pPr>
      <w:r>
        <w:rPr>
          <w:rFonts w:ascii="Courier New" w:eastAsia="Microsoft YaHei"/>
          <w:color w:val="0E9F7E"/>
          <w:sz w:val="19"/>
          <w:szCs w:val="19"/>
        </w:rPr>
        <w:t xml:space="preserve">curl https://www.twinmos.com/api/v1/health</w:t>
      </w:r>
      <w:r>
        <w:rPr>
          <w:rFonts w:ascii="Calibri" w:eastAsia="Microsoft YaHei"/>
          <w:color w:val="1A2B40"/>
          <w:sz w:val="22"/>
          <w:szCs w:val="22"/>
        </w:rPr>
        <w:t xml:space="preserve"> returns ok.</w:t>
      </w:r>
    </w:p>
    <w:p>
      <w:pPr>
        <w:pStyle w:val="ListParagraph"/>
        <w:numPr>
          <w:ilvl w:val="0"/>
          <w:numId w:val="22"/>
        </w:numPr>
        <w:spacing w:after="60" w:line="312"/>
      </w:pPr>
      <w:r>
        <w:rPr>
          <w:rFonts w:ascii="Calibri" w:eastAsia="Microsoft YaHei"/>
          <w:color w:val="1A2B40"/>
          <w:sz w:val="22"/>
          <w:szCs w:val="22"/>
        </w:rPr>
        <w:t xml:space="preserve">Sign in to /admin with the seeded admin and rotate the password immediately; create real staff accounts with MFA.</w:t>
      </w:r>
    </w:p>
    <w:p>
      <w:pPr>
        <w:pStyle w:val="ListParagraph"/>
        <w:numPr>
          <w:ilvl w:val="0"/>
          <w:numId w:val="22"/>
        </w:numPr>
        <w:spacing w:after="60" w:line="312"/>
      </w:pPr>
      <w:r>
        <w:rPr>
          <w:rFonts w:ascii="Calibri" w:eastAsia="Microsoft YaHei"/>
          <w:color w:val="1A2B40"/>
          <w:sz w:val="22"/>
          <w:szCs w:val="22"/>
        </w:rPr>
        <w:t xml:space="preserve">Turnstile live on both sides (site key baked into the web build; secret in api.env); remove the dev bypass flag from the environment entirely.</w:t>
      </w:r>
    </w:p>
    <w:p>
      <w:pPr>
        <w:pStyle w:val="ListParagraph"/>
        <w:numPr>
          <w:ilvl w:val="0"/>
          <w:numId w:val="22"/>
        </w:numPr>
        <w:spacing w:after="60" w:line="312"/>
      </w:pPr>
      <w:r>
        <w:rPr>
          <w:rFonts w:ascii="Calibri" w:eastAsia="Microsoft YaHei"/>
          <w:color w:val="1A2B40"/>
          <w:sz w:val="22"/>
          <w:szCs w:val="22"/>
        </w:rPr>
        <w:t xml:space="preserve">Resend live: submit the quote form and confirm the auto-reply arrives.</w:t>
      </w:r>
    </w:p>
    <w:p>
      <w:pPr>
        <w:pStyle w:val="ListParagraph"/>
        <w:numPr>
          <w:ilvl w:val="0"/>
          <w:numId w:val="22"/>
        </w:numPr>
        <w:spacing w:after="60" w:line="312"/>
      </w:pPr>
      <w:r>
        <w:rPr>
          <w:rFonts w:ascii="Calibri" w:eastAsia="Microsoft YaHei"/>
          <w:color w:val="1A2B40"/>
          <w:sz w:val="22"/>
          <w:szCs w:val="22"/>
        </w:rPr>
        <w:t xml:space="preserve">Rate limits verified: rapid curl triggers 429 with Retry-After.</w:t>
      </w:r>
    </w:p>
    <w:p>
      <w:pPr>
        <w:pStyle w:val="ListParagraph"/>
        <w:numPr>
          <w:ilvl w:val="0"/>
          <w:numId w:val="22"/>
        </w:numPr>
        <w:spacing w:after="60" w:line="312"/>
      </w:pPr>
      <w:r>
        <w:rPr>
          <w:rFonts w:ascii="Calibri" w:eastAsia="Microsoft YaHei"/>
          <w:color w:val="1A2B40"/>
          <w:sz w:val="22"/>
          <w:szCs w:val="22"/>
        </w:rPr>
        <w:t xml:space="preserve">Partner portal E2E on production (sign-in → gated download).</w:t>
      </w:r>
    </w:p>
    <w:p>
      <w:pPr>
        <w:pStyle w:val="ListParagraph"/>
        <w:numPr>
          <w:ilvl w:val="0"/>
          <w:numId w:val="22"/>
        </w:numPr>
        <w:spacing w:after="60" w:line="312"/>
      </w:pPr>
      <w:r>
        <w:rPr>
          <w:rFonts w:ascii="Calibri" w:eastAsia="Microsoft YaHei"/>
          <w:color w:val="1A2B40"/>
          <w:sz w:val="22"/>
          <w:szCs w:val="22"/>
        </w:rPr>
        <w:t xml:space="preserve">SN-check on production with a registry serial → genuine verdict.</w:t>
      </w:r>
    </w:p>
    <w:p>
      <w:pPr>
        <w:pStyle w:val="ListParagraph"/>
        <w:numPr>
          <w:ilvl w:val="0"/>
          <w:numId w:val="22"/>
        </w:numPr>
        <w:spacing w:after="60" w:line="312"/>
      </w:pPr>
      <w:r>
        <w:rPr>
          <w:rFonts w:ascii="Calibri" w:eastAsia="Microsoft YaHei"/>
          <w:color w:val="1A2B40"/>
          <w:sz w:val="22"/>
          <w:szCs w:val="22"/>
        </w:rPr>
        <w:t xml:space="preserve">First backup.sh run completed and one restore.sh --drill recorded in DR.md.</w:t>
      </w:r>
    </w:p>
    <w:p>
      <w:pPr>
        <w:pStyle w:val="ListParagraph"/>
        <w:numPr>
          <w:ilvl w:val="0"/>
          <w:numId w:val="22"/>
        </w:numPr>
        <w:spacing w:after="60" w:line="312"/>
      </w:pPr>
      <w:r>
        <w:rPr>
          <w:rFonts w:ascii="Calibri" w:eastAsia="Microsoft YaHei"/>
          <w:color w:val="1A2B40"/>
          <w:sz w:val="22"/>
          <w:szCs w:val="22"/>
        </w:rPr>
        <w:t xml:space="preserve">Monitoring: uptime check on /health; log shipping for twinmos-api.</w:t>
      </w:r>
    </w:p>
    <w:p>
      <w:pPr>
        <w:pStyle w:val="ListParagraph"/>
        <w:numPr>
          <w:ilvl w:val="0"/>
          <w:numId w:val="22"/>
        </w:numPr>
        <w:spacing w:after="60" w:line="312"/>
      </w:pPr>
      <w:r>
        <w:rPr>
          <w:rFonts w:ascii="Calibri" w:eastAsia="Microsoft YaHei"/>
          <w:color w:val="1A2B40"/>
          <w:sz w:val="22"/>
          <w:szCs w:val="22"/>
        </w:rPr>
        <w:t xml:space="preserve">ZAP baseline + load test re-run against production, recorded in the phase evidence.</w:t>
      </w:r>
    </w:p>
    <w:p>
      <w:pPr>
        <w:pStyle w:val="Heading2"/>
        <w:spacing w:after="120" w:before="300"/>
      </w:pPr>
      <w:bookmarkStart w:id="100065" w:name="_Toc100065"/>
      <w:r>
        <w:rPr>
          <w:rFonts w:ascii="Calibri" w:eastAsia="SimHei"/>
          <w:b/>
          <w:bCs/>
          <w:color w:val="0A1628"/>
          <w:sz w:val="28"/>
          <w:szCs w:val="28"/>
        </w:rPr>
        <w:t xml:space="preserve">7.10 Rollback</w:t>
      </w:r>
      <w:bookmarkEnd w:id="100065"/>
    </w:p>
    <w:p>
      <w:pPr>
        <w:pStyle w:val="ListParagraph"/>
        <w:numPr>
          <w:ilvl w:val="0"/>
          <w:numId w:val="23"/>
        </w:numPr>
        <w:spacing w:after="60" w:line="312"/>
      </w:pPr>
      <w:r>
        <w:rPr>
          <w:rFonts w:ascii="Calibri" w:eastAsia="Microsoft YaHei"/>
          <w:color w:val="1A2B40"/>
          <w:sz w:val="22"/>
          <w:szCs w:val="22"/>
        </w:rPr>
        <w:t xml:space="preserve">Static bundles: keep the last three dated dist copies on the VM; redeploy the previous one.</w:t>
      </w:r>
    </w:p>
    <w:p>
      <w:pPr>
        <w:pStyle w:val="ListParagraph"/>
        <w:numPr>
          <w:ilvl w:val="0"/>
          <w:numId w:val="23"/>
        </w:numPr>
        <w:spacing w:after="60" w:line="312"/>
      </w:pPr>
      <w:r>
        <w:rPr>
          <w:rFonts w:ascii="Calibri" w:eastAsia="Microsoft YaHei"/>
          <w:color w:val="1A2B40"/>
          <w:sz w:val="22"/>
          <w:szCs w:val="22"/>
        </w:rPr>
        <w:t xml:space="preserve">API: git checkout &lt;previous tag&gt; and restart twinmos-api.</w:t>
      </w:r>
    </w:p>
    <w:p>
      <w:pPr>
        <w:pStyle w:val="ListParagraph"/>
        <w:numPr>
          <w:ilvl w:val="0"/>
          <w:numId w:val="23"/>
        </w:numPr>
        <w:spacing w:after="60" w:line="312"/>
      </w:pPr>
      <w:r>
        <w:rPr>
          <w:rFonts w:ascii="Calibri" w:eastAsia="Microsoft YaHei"/>
          <w:b/>
          <w:bCs/>
          <w:color w:val="0A1628"/>
          <w:sz w:val="22"/>
          <w:szCs w:val="22"/>
        </w:rPr>
        <w:t xml:space="preserve">Database migrations are forward-only</w:t>
      </w:r>
      <w:r>
        <w:rPr>
          <w:rFonts w:ascii="Calibri" w:eastAsia="Microsoft YaHei"/>
          <w:color w:val="1A2B40"/>
          <w:sz w:val="22"/>
          <w:szCs w:val="22"/>
        </w:rPr>
        <w:t xml:space="preserve"> — if a migration must be undone, restore from backup with restore.sh.</w:t>
      </w:r>
    </w:p>
    <w:p>
      <w:pPr>
        <w:pStyle w:val="Heading2"/>
        <w:spacing w:after="120" w:before="300"/>
      </w:pPr>
      <w:bookmarkStart w:id="100066" w:name="_Toc100066"/>
      <w:r>
        <w:rPr>
          <w:rFonts w:ascii="Calibri" w:eastAsia="SimHei"/>
          <w:b/>
          <w:bCs/>
          <w:color w:val="0A1628"/>
          <w:sz w:val="28"/>
          <w:szCs w:val="28"/>
        </w:rPr>
        <w:t xml:space="preserve">7.11 Post-Deployment Monitoring</w:t>
      </w:r>
      <w:bookmarkEnd w:id="100066"/>
    </w:p>
    <w:p>
      <w:pPr>
        <w:pStyle w:val="ListParagraph"/>
        <w:numPr>
          <w:ilvl w:val="0"/>
          <w:numId w:val="24"/>
        </w:numPr>
        <w:spacing w:after="60" w:line="312"/>
      </w:pPr>
      <w:r>
        <w:rPr>
          <w:rFonts w:ascii="Calibri" w:eastAsia="Microsoft YaHei"/>
          <w:color w:val="1A2B40"/>
          <w:sz w:val="22"/>
          <w:szCs w:val="22"/>
        </w:rPr>
        <w:t xml:space="preserve">Watch /api/v1/health (uptime alert) and systemd status for restarts (Restart=always with 3s backoff is configured).</w:t>
      </w:r>
    </w:p>
    <w:p>
      <w:pPr>
        <w:pStyle w:val="ListParagraph"/>
        <w:numPr>
          <w:ilvl w:val="0"/>
          <w:numId w:val="24"/>
        </w:numPr>
        <w:spacing w:after="60" w:line="312"/>
      </w:pPr>
      <w:r>
        <w:rPr>
          <w:rFonts w:ascii="Calibri" w:eastAsia="Microsoft YaHei"/>
          <w:color w:val="1A2B40"/>
          <w:sz w:val="22"/>
          <w:szCs w:val="22"/>
        </w:rPr>
        <w:t xml:space="preserve">Watch the audit log volume — a sudden drop suggests submissions are failing upstream.</w:t>
      </w:r>
    </w:p>
    <w:p>
      <w:pPr>
        <w:pStyle w:val="ListParagraph"/>
        <w:numPr>
          <w:ilvl w:val="0"/>
          <w:numId w:val="24"/>
        </w:numPr>
        <w:spacing w:after="60" w:line="312"/>
      </w:pPr>
      <w:r>
        <w:rPr>
          <w:rFonts w:ascii="Calibri" w:eastAsia="Microsoft YaHei"/>
          <w:color w:val="1A2B40"/>
          <w:sz w:val="22"/>
          <w:szCs w:val="22"/>
        </w:rPr>
        <w:t xml:space="preserve">Review Cloudflare analytics for WAF blocks on /api/ (tune rules if legitimate traffic is challenged).</w:t>
      </w:r>
    </w:p>
    <w:p>
      <w:pPr>
        <w:pStyle w:val="ListParagraph"/>
        <w:numPr>
          <w:ilvl w:val="0"/>
          <w:numId w:val="24"/>
        </w:numPr>
        <w:spacing w:after="60" w:line="312"/>
      </w:pPr>
      <w:r>
        <w:rPr>
          <w:rFonts w:ascii="Calibri" w:eastAsia="Microsoft YaHei"/>
          <w:color w:val="1A2B40"/>
          <w:sz w:val="22"/>
          <w:szCs w:val="22"/>
        </w:rPr>
        <w:t xml:space="preserve">Hypercare: the repository's HYPERCARE.md runbook defines a 14-day window with daily checks and exit criteria.</w:t>
      </w:r>
    </w:p>
    <w:p>
      <w:pPr>
        <w:pStyle w:val="Heading1"/>
        <w:spacing w:after="160" w:before="400"/>
      </w:pPr>
      <w:bookmarkStart w:id="100067" w:name="_Toc100067"/>
      <w:r>
        <w:rPr>
          <w:rFonts w:ascii="Calibri" w:eastAsia="SimHei"/>
          <w:b/>
          <w:bCs/>
          <w:color w:val="0A1628"/>
          <w:sz w:val="34"/>
          <w:szCs w:val="34"/>
        </w:rPr>
        <w:t xml:space="preserve">8. Testing and Quality Gates</w:t>
      </w:r>
      <w:bookmarkEnd w:id="100067"/>
    </w:p>
    <w:p>
      <w:pPr>
        <w:pStyle w:val="Heading2"/>
        <w:spacing w:after="120" w:before="300"/>
      </w:pPr>
      <w:bookmarkStart w:id="100068" w:name="_Toc100068"/>
      <w:r>
        <w:rPr>
          <w:rFonts w:ascii="Calibri" w:eastAsia="SimHei"/>
          <w:b/>
          <w:bCs/>
          <w:color w:val="0A1628"/>
          <w:sz w:val="28"/>
          <w:szCs w:val="28"/>
        </w:rPr>
        <w:t xml:space="preserve">8.1 Automated Suites</w:t>
      </w:r>
      <w:bookmarkEnd w:id="100068"/>
    </w:p>
    <w:tbl>
      <w:tblPr>
        <w:tblW w:type="dxa" w:w="9200"/>
        <w:tblBorders>
          <w:top w:val="single" w:color="D5DDE7" w:sz="4"/>
          <w:left w:val="single" w:color="D5DDE7" w:sz="4"/>
          <w:bottom w:val="single" w:color="D5DDE7" w:sz="4"/>
          <w:right w:val="single" w:color="D5DDE7" w:sz="4"/>
          <w:insideH w:val="single" w:color="E6EBF1" w:sz="2"/>
          <w:insideV w:val="single" w:color="E6EBF1" w:sz="2"/>
        </w:tblBorders>
        <w:tblLayout w:type="fixed"/>
      </w:tblPr>
      <w:tblGrid>
        <w:gridCol w:w="2100"/>
        <w:gridCol w:w="5100"/>
        <w:gridCol w:w="1800"/>
      </w:tblGrid>
      <w:tr>
        <w:trPr>
          <w:cantSplit/>
          <w:tblHeader/>
        </w:trPr>
        <w:tc>
          <w:tcPr>
            <w:tcW w:type="dxa" w:w="2100"/>
            <w:shd w:fill="0A1628" w:val="clear"/>
            <w:tcMar>
              <w:top w:type="dxa" w:w="80"/>
              <w:left w:type="dxa" w:w="120"/>
              <w:bottom w:type="dxa" w:w="80"/>
              <w:right w:type="dxa" w:w="120"/>
            </w:tcMar>
            <w:vAlign w:val="center"/>
          </w:tcPr>
          <w:p>
            <w:r>
              <w:rPr>
                <w:rFonts w:ascii="Calibri" w:eastAsia="Microsoft YaHei"/>
                <w:b/>
                <w:bCs/>
                <w:color w:val="FFFFFF"/>
                <w:sz w:val="19"/>
                <w:szCs w:val="19"/>
              </w:rPr>
              <w:t xml:space="preserve">Gate</w:t>
            </w:r>
          </w:p>
        </w:tc>
        <w:tc>
          <w:tcPr>
            <w:tcW w:type="dxa" w:w="5100"/>
            <w:shd w:fill="0A1628" w:val="clear"/>
            <w:tcMar>
              <w:top w:type="dxa" w:w="80"/>
              <w:left w:type="dxa" w:w="120"/>
              <w:bottom w:type="dxa" w:w="80"/>
              <w:right w:type="dxa" w:w="120"/>
            </w:tcMar>
            <w:vAlign w:val="center"/>
          </w:tcPr>
          <w:p>
            <w:r>
              <w:rPr>
                <w:rFonts w:ascii="Calibri" w:eastAsia="Microsoft YaHei"/>
                <w:b/>
                <w:bCs/>
                <w:color w:val="FFFFFF"/>
                <w:sz w:val="19"/>
                <w:szCs w:val="19"/>
              </w:rPr>
              <w:t xml:space="preserve">What it covers</w:t>
            </w:r>
          </w:p>
        </w:tc>
        <w:tc>
          <w:tcPr>
            <w:tcW w:type="dxa" w:w="1800"/>
            <w:shd w:fill="0A1628" w:val="clear"/>
            <w:tcMar>
              <w:top w:type="dxa" w:w="80"/>
              <w:left w:type="dxa" w:w="120"/>
              <w:bottom w:type="dxa" w:w="80"/>
              <w:right w:type="dxa" w:w="120"/>
            </w:tcMar>
            <w:vAlign w:val="center"/>
          </w:tcPr>
          <w:p>
            <w:r>
              <w:rPr>
                <w:rFonts w:ascii="Calibri" w:eastAsia="Microsoft YaHei"/>
                <w:b/>
                <w:bCs/>
                <w:color w:val="FFFFFF"/>
                <w:sz w:val="19"/>
                <w:szCs w:val="19"/>
              </w:rPr>
              <w:t xml:space="preserve">Result at handover</w:t>
            </w:r>
          </w:p>
        </w:tc>
      </w:tr>
      <w:tr>
        <w:trPr>
          <w:cantSplit/>
        </w:trPr>
        <w:tc>
          <w:tcPr>
            <w:tcW w:type="dxa" w:w="2100"/>
            <w:shd w:fill="FFFFFF" w:val="clear"/>
            <w:tcMar>
              <w:top w:type="dxa" w:w="60"/>
              <w:left w:type="dxa" w:w="120"/>
              <w:bottom w:type="dxa" w:w="60"/>
              <w:right w:type="dxa" w:w="120"/>
            </w:tcMar>
          </w:tcPr>
          <w:p>
            <w:r>
              <w:rPr>
                <w:rFonts w:ascii="Calibri" w:eastAsia="Microsoft YaHei"/>
                <w:color w:val="1A2B40"/>
                <w:sz w:val="19"/>
                <w:szCs w:val="19"/>
              </w:rPr>
              <w:t xml:space="preserve">Vitest (26 suites)</w:t>
            </w:r>
          </w:p>
        </w:tc>
        <w:tc>
          <w:tcPr>
            <w:tcW w:type="dxa" w:w="5100"/>
            <w:shd w:fill="FFFFFF" w:val="clear"/>
            <w:tcMar>
              <w:top w:type="dxa" w:w="60"/>
              <w:left w:type="dxa" w:w="120"/>
              <w:bottom w:type="dxa" w:w="60"/>
              <w:right w:type="dxa" w:w="120"/>
            </w:tcMar>
          </w:tcPr>
          <w:p>
            <w:r>
              <w:rPr>
                <w:rFonts w:ascii="Calibri" w:eastAsia="Microsoft YaHei"/>
                <w:color w:val="1A2B40"/>
                <w:sz w:val="19"/>
                <w:szCs w:val="19"/>
              </w:rPr>
              <w:t xml:space="preserve">253 end-to-end + unit tests: auth/MFA lifecycle, RBAC races, CMS workflow, catalog, leads, RMA, directory, serials, media, settings, security headers</w:t>
            </w:r>
          </w:p>
        </w:tc>
        <w:tc>
          <w:tcPr>
            <w:tcW w:type="dxa" w:w="1800"/>
            <w:shd w:fill="FFFFFF" w:val="clear"/>
            <w:tcMar>
              <w:top w:type="dxa" w:w="60"/>
              <w:left w:type="dxa" w:w="120"/>
              <w:bottom w:type="dxa" w:w="60"/>
              <w:right w:type="dxa" w:w="120"/>
            </w:tcMar>
          </w:tcPr>
          <w:p>
            <w:r>
              <w:rPr>
                <w:rFonts w:ascii="Calibri" w:eastAsia="Microsoft YaHei"/>
                <w:color w:val="1A2B40"/>
                <w:sz w:val="19"/>
                <w:szCs w:val="19"/>
              </w:rPr>
              <w:t xml:space="preserve">253/253 passed</w:t>
            </w:r>
          </w:p>
        </w:tc>
      </w:tr>
      <w:tr>
        <w:trPr>
          <w:cantSplit/>
        </w:trPr>
        <w:tc>
          <w:tcPr>
            <w:tcW w:type="dxa" w:w="2100"/>
            <w:shd w:fill="F4F8FC" w:val="clear"/>
            <w:tcMar>
              <w:top w:type="dxa" w:w="60"/>
              <w:left w:type="dxa" w:w="120"/>
              <w:bottom w:type="dxa" w:w="60"/>
              <w:right w:type="dxa" w:w="120"/>
            </w:tcMar>
          </w:tcPr>
          <w:p>
            <w:r>
              <w:rPr>
                <w:rFonts w:ascii="Calibri" w:eastAsia="Microsoft YaHei"/>
                <w:color w:val="1A2B40"/>
                <w:sz w:val="19"/>
                <w:szCs w:val="19"/>
              </w:rPr>
              <w:t xml:space="preserve">Typecheck</w:t>
            </w:r>
          </w:p>
        </w:tc>
        <w:tc>
          <w:tcPr>
            <w:tcW w:type="dxa" w:w="5100"/>
            <w:shd w:fill="F4F8FC" w:val="clear"/>
            <w:tcMar>
              <w:top w:type="dxa" w:w="60"/>
              <w:left w:type="dxa" w:w="120"/>
              <w:bottom w:type="dxa" w:w="60"/>
              <w:right w:type="dxa" w:w="120"/>
            </w:tcMar>
          </w:tcPr>
          <w:p>
            <w:r>
              <w:rPr>
                <w:rFonts w:ascii="Calibri" w:eastAsia="Microsoft YaHei"/>
                <w:color w:val="1A2B40"/>
                <w:sz w:val="19"/>
                <w:szCs w:val="19"/>
              </w:rPr>
              <w:t xml:space="preserve">TypeScript across api, admin, db, shared</w:t>
            </w:r>
          </w:p>
        </w:tc>
        <w:tc>
          <w:tcPr>
            <w:tcW w:type="dxa" w:w="1800"/>
            <w:shd w:fill="F4F8FC" w:val="clear"/>
            <w:tcMar>
              <w:top w:type="dxa" w:w="60"/>
              <w:left w:type="dxa" w:w="120"/>
              <w:bottom w:type="dxa" w:w="60"/>
              <w:right w:type="dxa" w:w="120"/>
            </w:tcMar>
          </w:tcPr>
          <w:p>
            <w:r>
              <w:rPr>
                <w:rFonts w:ascii="Calibri" w:eastAsia="Microsoft YaHei"/>
                <w:color w:val="1A2B40"/>
                <w:sz w:val="19"/>
                <w:szCs w:val="19"/>
              </w:rPr>
              <w:t xml:space="preserve">Clean</w:t>
            </w:r>
          </w:p>
        </w:tc>
      </w:tr>
      <w:tr>
        <w:trPr>
          <w:cantSplit/>
        </w:trPr>
        <w:tc>
          <w:tcPr>
            <w:tcW w:type="dxa" w:w="2100"/>
            <w:shd w:fill="FFFFFF" w:val="clear"/>
            <w:tcMar>
              <w:top w:type="dxa" w:w="60"/>
              <w:left w:type="dxa" w:w="120"/>
              <w:bottom w:type="dxa" w:w="60"/>
              <w:right w:type="dxa" w:w="120"/>
            </w:tcMar>
          </w:tcPr>
          <w:p>
            <w:r>
              <w:rPr>
                <w:rFonts w:ascii="Calibri" w:eastAsia="Microsoft YaHei"/>
                <w:color w:val="1A2B40"/>
                <w:sz w:val="19"/>
                <w:szCs w:val="19"/>
              </w:rPr>
              <w:t xml:space="preserve">Local OWASP-equivalent scan</w:t>
            </w:r>
          </w:p>
        </w:tc>
        <w:tc>
          <w:tcPr>
            <w:tcW w:type="dxa" w:w="5100"/>
            <w:shd w:fill="FFFFFF" w:val="clear"/>
            <w:tcMar>
              <w:top w:type="dxa" w:w="60"/>
              <w:left w:type="dxa" w:w="120"/>
              <w:bottom w:type="dxa" w:w="60"/>
              <w:right w:type="dxa" w:w="120"/>
            </w:tcMar>
          </w:tcPr>
          <w:p>
            <w:r>
              <w:rPr>
                <w:rFonts w:ascii="Calibri" w:eastAsia="Microsoft YaHei"/>
                <w:color w:val="1A2B40"/>
                <w:sz w:val="19"/>
                <w:szCs w:val="19"/>
              </w:rPr>
              <w:t xml:space="preserve">tooling/owasp-local-scan.mjs — 14 check classes, 35 requests: headers, CORS, authz, traversal, SQLi/XSS reflection, verb tampering, rate limits, RFC 9457</w:t>
            </w:r>
          </w:p>
        </w:tc>
        <w:tc>
          <w:tcPr>
            <w:tcW w:type="dxa" w:w="1800"/>
            <w:shd w:fill="FFFFFF" w:val="clear"/>
            <w:tcMar>
              <w:top w:type="dxa" w:w="60"/>
              <w:left w:type="dxa" w:w="120"/>
              <w:bottom w:type="dxa" w:w="60"/>
              <w:right w:type="dxa" w:w="120"/>
            </w:tcMar>
          </w:tcPr>
          <w:p>
            <w:r>
              <w:rPr>
                <w:rFonts w:ascii="Calibri" w:eastAsia="Microsoft YaHei"/>
                <w:color w:val="1A2B40"/>
                <w:sz w:val="19"/>
                <w:szCs w:val="19"/>
              </w:rPr>
              <w:t xml:space="preserve">NO FINDINGS</w:t>
            </w:r>
          </w:p>
        </w:tc>
      </w:tr>
      <w:tr>
        <w:trPr>
          <w:cantSplit/>
        </w:trPr>
        <w:tc>
          <w:tcPr>
            <w:tcW w:type="dxa" w:w="2100"/>
            <w:shd w:fill="F4F8FC" w:val="clear"/>
            <w:tcMar>
              <w:top w:type="dxa" w:w="60"/>
              <w:left w:type="dxa" w:w="120"/>
              <w:bottom w:type="dxa" w:w="60"/>
              <w:right w:type="dxa" w:w="120"/>
            </w:tcMar>
          </w:tcPr>
          <w:p>
            <w:r>
              <w:rPr>
                <w:rFonts w:ascii="Calibri" w:eastAsia="Microsoft YaHei"/>
                <w:color w:val="1A2B40"/>
                <w:sz w:val="19"/>
                <w:szCs w:val="19"/>
              </w:rPr>
              <w:t xml:space="preserve">Parity gates (CI)</w:t>
            </w:r>
          </w:p>
        </w:tc>
        <w:tc>
          <w:tcPr>
            <w:tcW w:type="dxa" w:w="5100"/>
            <w:shd w:fill="F4F8FC" w:val="clear"/>
            <w:tcMar>
              <w:top w:type="dxa" w:w="60"/>
              <w:left w:type="dxa" w:w="120"/>
              <w:bottom w:type="dxa" w:w="60"/>
              <w:right w:type="dxa" w:w="120"/>
            </w:tcMar>
          </w:tcPr>
          <w:p>
            <w:r>
              <w:rPr>
                <w:rFonts w:ascii="Calibri" w:eastAsia="Microsoft YaHei"/>
                <w:color w:val="1A2B40"/>
                <w:sz w:val="19"/>
                <w:szCs w:val="19"/>
              </w:rPr>
              <w:t xml:space="preserve">Playwright screenshot-diff vs the audited prototype</w:t>
            </w:r>
          </w:p>
        </w:tc>
        <w:tc>
          <w:tcPr>
            <w:tcW w:type="dxa" w:w="1800"/>
            <w:shd w:fill="F4F8FC" w:val="clear"/>
            <w:tcMar>
              <w:top w:type="dxa" w:w="60"/>
              <w:left w:type="dxa" w:w="120"/>
              <w:bottom w:type="dxa" w:w="60"/>
              <w:right w:type="dxa" w:w="120"/>
            </w:tcMar>
          </w:tcPr>
          <w:p>
            <w:r>
              <w:rPr>
                <w:rFonts w:ascii="Calibri" w:eastAsia="Microsoft YaHei"/>
                <w:color w:val="1A2B40"/>
                <w:sz w:val="19"/>
                <w:szCs w:val="19"/>
              </w:rPr>
              <w:t xml:space="preserve">Passing (documented in phase evidence)</w:t>
            </w:r>
          </w:p>
        </w:tc>
      </w:tr>
      <w:tr>
        <w:trPr>
          <w:cantSplit/>
        </w:trPr>
        <w:tc>
          <w:tcPr>
            <w:tcW w:type="dxa" w:w="2100"/>
            <w:shd w:fill="FFFFFF" w:val="clear"/>
            <w:tcMar>
              <w:top w:type="dxa" w:w="60"/>
              <w:left w:type="dxa" w:w="120"/>
              <w:bottom w:type="dxa" w:w="60"/>
              <w:right w:type="dxa" w:w="120"/>
            </w:tcMar>
          </w:tcPr>
          <w:p>
            <w:r>
              <w:rPr>
                <w:rFonts w:ascii="Calibri" w:eastAsia="Microsoft YaHei"/>
                <w:color w:val="1A2B40"/>
                <w:sz w:val="19"/>
                <w:szCs w:val="19"/>
              </w:rPr>
              <w:t xml:space="preserve">Accessibility</w:t>
            </w:r>
          </w:p>
        </w:tc>
        <w:tc>
          <w:tcPr>
            <w:tcW w:type="dxa" w:w="5100"/>
            <w:shd w:fill="FFFFFF" w:val="clear"/>
            <w:tcMar>
              <w:top w:type="dxa" w:w="60"/>
              <w:left w:type="dxa" w:w="120"/>
              <w:bottom w:type="dxa" w:w="60"/>
              <w:right w:type="dxa" w:w="120"/>
            </w:tcMar>
          </w:tcPr>
          <w:p>
            <w:r>
              <w:rPr>
                <w:rFonts w:ascii="Calibri" w:eastAsia="Microsoft YaHei"/>
                <w:color w:val="1A2B40"/>
                <w:sz w:val="19"/>
                <w:szCs w:val="19"/>
              </w:rPr>
              <w:t xml:space="preserve">axe-core sweep with zero criticals</w:t>
            </w:r>
          </w:p>
        </w:tc>
        <w:tc>
          <w:tcPr>
            <w:tcW w:type="dxa" w:w="1800"/>
            <w:shd w:fill="FFFFFF" w:val="clear"/>
            <w:tcMar>
              <w:top w:type="dxa" w:w="60"/>
              <w:left w:type="dxa" w:w="120"/>
              <w:bottom w:type="dxa" w:w="60"/>
              <w:right w:type="dxa" w:w="120"/>
            </w:tcMar>
          </w:tcPr>
          <w:p>
            <w:r>
              <w:rPr>
                <w:rFonts w:ascii="Calibri" w:eastAsia="Microsoft YaHei"/>
                <w:color w:val="1A2B40"/>
                <w:sz w:val="19"/>
                <w:szCs w:val="19"/>
              </w:rPr>
              <w:t xml:space="preserve">Passing</w:t>
            </w:r>
          </w:p>
        </w:tc>
      </w:tr>
    </w:tbl>
    <w:p>
      <w:pPr>
        <w:spacing w:after="120"/>
      </w:pPr>
    </w:p>
    <w:p>
      <w:pPr>
        <w:pStyle w:val="Heading2"/>
        <w:spacing w:after="120" w:before="300"/>
      </w:pPr>
      <w:bookmarkStart w:id="100069" w:name="_Toc100069"/>
      <w:r>
        <w:rPr>
          <w:rFonts w:ascii="Calibri" w:eastAsia="SimHei"/>
          <w:b/>
          <w:bCs/>
          <w:color w:val="0A1628"/>
          <w:sz w:val="28"/>
          <w:szCs w:val="28"/>
        </w:rPr>
        <w:t xml:space="preserve">8.2 Running the Gates</w:t>
      </w:r>
      <w:bookmarkEnd w:id="100069"/>
    </w:p>
    <w:tbl>
      <w:tblPr>
        <w:tblW w:type="pct" w:w="5000"/>
        <w:tblBorders>
          <w:top w:val="single" w:color="DCE3EB" w:sz="4"/>
          <w:left w:val="single" w:color="DCE3EB" w:sz="4"/>
          <w:bottom w:val="single" w:color="DCE3EB" w:sz="4"/>
          <w:right w:val="single" w:color="DCE3EB" w:sz="4"/>
          <w:insideH w:val="none" w:color="FFFFFF" w:sz="0"/>
          <w:insideV w:val="none" w:color="FFFFFF" w:sz="0"/>
        </w:tblBorders>
        <w:tblLayout w:type="fixed"/>
      </w:tblPr>
      <w:tblGrid>
        <w:gridCol w:w="8788"/>
      </w:tblGrid>
      <w:tr>
        <w:tc>
          <w:tcPr>
            <w:shd w:fill="F4F7FA" w:val="clear"/>
            <w:tcMar>
              <w:top w:type="dxa" w:w="120"/>
              <w:left w:type="dxa" w:w="200"/>
              <w:bottom w:type="dxa" w:w="120"/>
              <w:right w:type="dxa" w:w="200"/>
            </w:tcMar>
          </w:tcPr>
          <w:p>
            <w:pPr>
              <w:spacing w:line="264"/>
            </w:pPr>
            <w:r>
              <w:rPr>
                <w:rFonts w:ascii="Courier New" w:eastAsia="Microsoft YaHei"/>
                <w:color w:val="24344A"/>
                <w:sz w:val="18"/>
                <w:szCs w:val="18"/>
              </w:rPr>
              <w:t xml:space="preserve">cd twinmso_codebase</w:t>
            </w:r>
          </w:p>
          <w:p>
            <w:pPr>
              <w:spacing w:line="264"/>
            </w:pPr>
            <w:r>
              <w:rPr>
                <w:rFonts w:ascii="Courier New" w:eastAsia="Microsoft YaHei"/>
                <w:color w:val="24344A"/>
                <w:sz w:val="18"/>
                <w:szCs w:val="18"/>
              </w:rPr>
              <w:t xml:space="preserve">npm run test          # full suite (isolated temp databases per suite)</w:t>
            </w:r>
          </w:p>
          <w:p>
            <w:pPr>
              <w:spacing w:line="264"/>
            </w:pPr>
            <w:r>
              <w:rPr>
                <w:rFonts w:ascii="Courier New" w:eastAsia="Microsoft YaHei"/>
                <w:color w:val="24344A"/>
                <w:sz w:val="18"/>
                <w:szCs w:val="18"/>
              </w:rPr>
              <w:t xml:space="preserve">npm run typecheck     # tsc across all packages</w:t>
            </w:r>
          </w:p>
          <w:p>
            <w:pPr>
              <w:spacing w:line="264"/>
            </w:pPr>
            <w:r>
              <w:rPr>
                <w:rFonts w:ascii="Courier New" w:eastAsia="Microsoft YaHei"/>
                <w:color w:val="24344A"/>
                <w:sz w:val="18"/>
                <w:szCs w:val="18"/>
              </w:rPr>
              <w:t xml:space="preserve">node tooling/owasp-local-scan.mjs --target https://staging.twinmos.com</w:t>
            </w:r>
          </w:p>
        </w:tc>
      </w:tr>
    </w:tbl>
    <w:tbl>
      <w:tblPr>
        <w:tblW w:type="pct" w:w="5000"/>
        <w:tblBorders>
          <w:top w:val="none" w:color="FFFFFF" w:sz="0"/>
          <w:left w:val="single" w:color="0E9F7E" w:sz="16"/>
          <w:bottom w:val="none" w:color="FFFFFF" w:sz="0"/>
          <w:right w:val="none" w:color="FFFFFF" w:sz="0"/>
          <w:insideH w:val="single" w:color="auto" w:sz="4"/>
          <w:insideV w:val="single" w:color="auto" w:sz="4"/>
        </w:tblBorders>
        <w:tblLayout w:type="fixed"/>
      </w:tblPr>
      <w:tblGrid>
        <w:gridCol w:w="8788"/>
      </w:tblGrid>
      <w:tr>
        <w:tc>
          <w:tcPr>
            <w:shd w:fill="EDFAF6" w:val="clear"/>
            <w:tcMar>
              <w:top w:type="dxa" w:w="100"/>
              <w:left w:type="dxa" w:w="200"/>
              <w:bottom w:type="dxa" w:w="100"/>
              <w:right w:type="dxa" w:w="160"/>
            </w:tcMar>
          </w:tcPr>
          <w:p>
            <w:pPr>
              <w:spacing w:line="300"/>
            </w:pPr>
            <w:r>
              <w:rPr>
                <w:rFonts w:ascii="Calibri" w:eastAsia="Microsoft YaHei"/>
                <w:b/>
                <w:bCs/>
                <w:color w:val="0E9F7E"/>
                <w:sz w:val="20"/>
                <w:szCs w:val="20"/>
              </w:rPr>
              <w:t xml:space="preserve">NOTE — </w:t>
            </w:r>
            <w:r>
              <w:rPr>
                <w:rFonts w:ascii="Calibri" w:eastAsia="Microsoft YaHei"/>
                <w:color w:val="1A2B40"/>
                <w:sz w:val="20"/>
                <w:szCs w:val="20"/>
              </w:rPr>
              <w:t xml:space="preserve">The test suites use their own embedded databases (per-suite temp dirs) and are safe to run while the dev stack is up. The DR drill tool rebuilds a throwaway database from migrations + seed and probes a booted API — it is the fastest full-stack smoke test available.</w:t>
            </w:r>
          </w:p>
        </w:tc>
      </w:tr>
    </w:tbl>
    <w:p>
      <w:pPr>
        <w:pStyle w:val="Heading1"/>
        <w:spacing w:after="160" w:before="400"/>
      </w:pPr>
      <w:bookmarkStart w:id="100070" w:name="_Toc100070"/>
      <w:r>
        <w:rPr>
          <w:rFonts w:ascii="Calibri" w:eastAsia="SimHei"/>
          <w:b/>
          <w:bCs/>
          <w:color w:val="0A1628"/>
          <w:sz w:val="34"/>
          <w:szCs w:val="34"/>
        </w:rPr>
        <w:t xml:space="preserve">9. Troubleshooting</w:t>
      </w:r>
      <w:bookmarkEnd w:id="100070"/>
    </w:p>
    <w:p>
      <w:pPr>
        <w:pStyle w:val="Heading2"/>
        <w:spacing w:after="120" w:before="300"/>
      </w:pPr>
      <w:bookmarkStart w:id="100071" w:name="_Toc100071"/>
      <w:r>
        <w:rPr>
          <w:rFonts w:ascii="Calibri" w:eastAsia="SimHei"/>
          <w:b/>
          <w:bCs/>
          <w:color w:val="0A1628"/>
          <w:sz w:val="28"/>
          <w:szCs w:val="28"/>
        </w:rPr>
        <w:t xml:space="preserve">9.1 Common Issues and Fixes</w:t>
      </w:r>
      <w:bookmarkEnd w:id="100071"/>
    </w:p>
    <w:tbl>
      <w:tblPr>
        <w:tblW w:type="dxa" w:w="9200"/>
        <w:tblBorders>
          <w:top w:val="single" w:color="D5DDE7" w:sz="4"/>
          <w:left w:val="single" w:color="D5DDE7" w:sz="4"/>
          <w:bottom w:val="single" w:color="D5DDE7" w:sz="4"/>
          <w:right w:val="single" w:color="D5DDE7" w:sz="4"/>
          <w:insideH w:val="single" w:color="E6EBF1" w:sz="2"/>
          <w:insideV w:val="single" w:color="E6EBF1" w:sz="2"/>
        </w:tblBorders>
        <w:tblLayout w:type="fixed"/>
      </w:tblPr>
      <w:tblGrid>
        <w:gridCol w:w="2500"/>
        <w:gridCol w:w="2900"/>
        <w:gridCol w:w="3600"/>
      </w:tblGrid>
      <w:tr>
        <w:trPr>
          <w:cantSplit/>
          <w:tblHeader/>
        </w:trPr>
        <w:tc>
          <w:tcPr>
            <w:tcW w:type="dxa" w:w="2500"/>
            <w:shd w:fill="0A1628" w:val="clear"/>
            <w:tcMar>
              <w:top w:type="dxa" w:w="80"/>
              <w:left w:type="dxa" w:w="120"/>
              <w:bottom w:type="dxa" w:w="80"/>
              <w:right w:type="dxa" w:w="120"/>
            </w:tcMar>
            <w:vAlign w:val="center"/>
          </w:tcPr>
          <w:p>
            <w:r>
              <w:rPr>
                <w:rFonts w:ascii="Calibri" w:eastAsia="Microsoft YaHei"/>
                <w:b/>
                <w:bCs/>
                <w:color w:val="FFFFFF"/>
                <w:sz w:val="19"/>
                <w:szCs w:val="19"/>
              </w:rPr>
              <w:t xml:space="preserve">Symptom</w:t>
            </w:r>
          </w:p>
        </w:tc>
        <w:tc>
          <w:tcPr>
            <w:tcW w:type="dxa" w:w="2900"/>
            <w:shd w:fill="0A1628" w:val="clear"/>
            <w:tcMar>
              <w:top w:type="dxa" w:w="80"/>
              <w:left w:type="dxa" w:w="120"/>
              <w:bottom w:type="dxa" w:w="80"/>
              <w:right w:type="dxa" w:w="120"/>
            </w:tcMar>
            <w:vAlign w:val="center"/>
          </w:tcPr>
          <w:p>
            <w:r>
              <w:rPr>
                <w:rFonts w:ascii="Calibri" w:eastAsia="Microsoft YaHei"/>
                <w:b/>
                <w:bCs/>
                <w:color w:val="FFFFFF"/>
                <w:sz w:val="19"/>
                <w:szCs w:val="19"/>
              </w:rPr>
              <w:t xml:space="preserve">Likely cause</w:t>
            </w:r>
          </w:p>
        </w:tc>
        <w:tc>
          <w:tcPr>
            <w:tcW w:type="dxa" w:w="3600"/>
            <w:shd w:fill="0A1628" w:val="clear"/>
            <w:tcMar>
              <w:top w:type="dxa" w:w="80"/>
              <w:left w:type="dxa" w:w="120"/>
              <w:bottom w:type="dxa" w:w="80"/>
              <w:right w:type="dxa" w:w="120"/>
            </w:tcMar>
            <w:vAlign w:val="center"/>
          </w:tcPr>
          <w:p>
            <w:r>
              <w:rPr>
                <w:rFonts w:ascii="Calibri" w:eastAsia="Microsoft YaHei"/>
                <w:b/>
                <w:bCs/>
                <w:color w:val="FFFFFF"/>
                <w:sz w:val="19"/>
                <w:szCs w:val="19"/>
              </w:rPr>
              <w:t xml:space="preserve">Fix</w:t>
            </w:r>
          </w:p>
        </w:tc>
      </w:tr>
      <w:tr>
        <w:trPr>
          <w:cantSplit/>
        </w:trPr>
        <w:tc>
          <w:tcPr>
            <w:tcW w:type="dxa" w:w="2500"/>
            <w:shd w:fill="FFFFFF" w:val="clear"/>
            <w:tcMar>
              <w:top w:type="dxa" w:w="60"/>
              <w:left w:type="dxa" w:w="120"/>
              <w:bottom w:type="dxa" w:w="60"/>
              <w:right w:type="dxa" w:w="120"/>
            </w:tcMar>
          </w:tcPr>
          <w:p>
            <w:r>
              <w:rPr>
                <w:rFonts w:ascii="Calibri" w:eastAsia="Microsoft YaHei"/>
                <w:color w:val="1A2B40"/>
                <w:sz w:val="19"/>
                <w:szCs w:val="19"/>
              </w:rPr>
              <w:t xml:space="preserve">Admin login rejected with 403 (not 401)</w:t>
            </w:r>
          </w:p>
        </w:tc>
        <w:tc>
          <w:tcPr>
            <w:tcW w:type="dxa" w:w="2900"/>
            <w:shd w:fill="FFFFFF" w:val="clear"/>
            <w:tcMar>
              <w:top w:type="dxa" w:w="60"/>
              <w:left w:type="dxa" w:w="120"/>
              <w:bottom w:type="dxa" w:w="60"/>
              <w:right w:type="dxa" w:w="120"/>
            </w:tcMar>
          </w:tcPr>
          <w:p>
            <w:r>
              <w:rPr>
                <w:rFonts w:ascii="Calibri" w:eastAsia="Microsoft YaHei"/>
                <w:color w:val="1A2B40"/>
                <w:sz w:val="19"/>
                <w:szCs w:val="19"/>
              </w:rPr>
              <w:t xml:space="preserve">Auth origin not trusted — BETTER_AUTH_TRUSTED_ORIGINS missing the admin surface origin</w:t>
            </w:r>
          </w:p>
        </w:tc>
        <w:tc>
          <w:tcPr>
            <w:tcW w:type="dxa" w:w="3600"/>
            <w:shd w:fill="FFFFFF" w:val="clear"/>
            <w:tcMar>
              <w:top w:type="dxa" w:w="60"/>
              <w:left w:type="dxa" w:w="120"/>
              <w:bottom w:type="dxa" w:w="60"/>
              <w:right w:type="dxa" w:w="120"/>
            </w:tcMar>
          </w:tcPr>
          <w:p>
            <w:r>
              <w:rPr>
                <w:rFonts w:ascii="Calibri" w:eastAsia="Microsoft YaHei"/>
                <w:color w:val="1A2B40"/>
                <w:sz w:val="19"/>
                <w:szCs w:val="19"/>
              </w:rPr>
              <w:t xml:space="preserve">Add the origin (e.g. http://localhost:5173) to .env and restart the API</w:t>
            </w:r>
          </w:p>
        </w:tc>
      </w:tr>
      <w:tr>
        <w:trPr>
          <w:cantSplit/>
        </w:trPr>
        <w:tc>
          <w:tcPr>
            <w:tcW w:type="dxa" w:w="2500"/>
            <w:shd w:fill="F4F8FC" w:val="clear"/>
            <w:tcMar>
              <w:top w:type="dxa" w:w="60"/>
              <w:left w:type="dxa" w:w="120"/>
              <w:bottom w:type="dxa" w:w="60"/>
              <w:right w:type="dxa" w:w="120"/>
            </w:tcMar>
          </w:tcPr>
          <w:p>
            <w:r>
              <w:rPr>
                <w:rFonts w:ascii="Calibri" w:eastAsia="Microsoft YaHei"/>
                <w:color w:val="1A2B40"/>
                <w:sz w:val="19"/>
                <w:szCs w:val="19"/>
              </w:rPr>
              <w:t xml:space="preserve">Public forms / SN-check show unavailable (dev)</w:t>
            </w:r>
          </w:p>
        </w:tc>
        <w:tc>
          <w:tcPr>
            <w:tcW w:type="dxa" w:w="2900"/>
            <w:shd w:fill="F4F8FC" w:val="clear"/>
            <w:tcMar>
              <w:top w:type="dxa" w:w="60"/>
              <w:left w:type="dxa" w:w="120"/>
              <w:bottom w:type="dxa" w:w="60"/>
              <w:right w:type="dxa" w:w="120"/>
            </w:tcMar>
          </w:tcPr>
          <w:p>
            <w:r>
              <w:rPr>
                <w:rFonts w:ascii="Calibri" w:eastAsia="Microsoft YaHei"/>
                <w:color w:val="1A2B40"/>
                <w:sz w:val="19"/>
                <w:szCs w:val="19"/>
              </w:rPr>
              <w:t xml:space="preserve">CORS: ALLOWED_ORIGIN unset so the browser blocks cross-origin API calls from :4321</w:t>
            </w:r>
          </w:p>
        </w:tc>
        <w:tc>
          <w:tcPr>
            <w:tcW w:type="dxa" w:w="3600"/>
            <w:shd w:fill="F4F8FC" w:val="clear"/>
            <w:tcMar>
              <w:top w:type="dxa" w:w="60"/>
              <w:left w:type="dxa" w:w="120"/>
              <w:bottom w:type="dxa" w:w="60"/>
              <w:right w:type="dxa" w:w="120"/>
            </w:tcMar>
          </w:tcPr>
          <w:p>
            <w:r>
              <w:rPr>
                <w:rFonts w:ascii="Calibri" w:eastAsia="Microsoft YaHei"/>
                <w:color w:val="1A2B40"/>
                <w:sz w:val="19"/>
                <w:szCs w:val="19"/>
              </w:rPr>
              <w:t xml:space="preserve">Set ALLOWED_ORIGIN=http://localhost:4321 in the dev .env; restart</w:t>
            </w:r>
          </w:p>
        </w:tc>
      </w:tr>
      <w:tr>
        <w:trPr>
          <w:cantSplit/>
        </w:trPr>
        <w:tc>
          <w:tcPr>
            <w:tcW w:type="dxa" w:w="2500"/>
            <w:shd w:fill="FFFFFF" w:val="clear"/>
            <w:tcMar>
              <w:top w:type="dxa" w:w="60"/>
              <w:left w:type="dxa" w:w="120"/>
              <w:bottom w:type="dxa" w:w="60"/>
              <w:right w:type="dxa" w:w="120"/>
            </w:tcMar>
          </w:tcPr>
          <w:p>
            <w:r>
              <w:rPr>
                <w:rFonts w:ascii="Calibri" w:eastAsia="Microsoft YaHei"/>
                <w:color w:val="1A2B40"/>
                <w:sz w:val="19"/>
                <w:szCs w:val="19"/>
              </w:rPr>
              <w:t xml:space="preserve">API boots then queries fail with WASM abort (dev)</w:t>
            </w:r>
          </w:p>
        </w:tc>
        <w:tc>
          <w:tcPr>
            <w:tcW w:type="dxa" w:w="2900"/>
            <w:shd w:fill="FFFFFF" w:val="clear"/>
            <w:tcMar>
              <w:top w:type="dxa" w:w="60"/>
              <w:left w:type="dxa" w:w="120"/>
              <w:bottom w:type="dxa" w:w="60"/>
              <w:right w:type="dxa" w:w="120"/>
            </w:tcMar>
          </w:tcPr>
          <w:p>
            <w:r>
              <w:rPr>
                <w:rFonts w:ascii="Calibri" w:eastAsia="Microsoft YaHei"/>
                <w:color w:val="1A2B40"/>
                <w:sz w:val="19"/>
                <w:szCs w:val="19"/>
              </w:rPr>
              <w:t xml:space="preserve">PGlite corrupted by concurrent access or force-kill</w:t>
            </w:r>
          </w:p>
        </w:tc>
        <w:tc>
          <w:tcPr>
            <w:tcW w:type="dxa" w:w="3600"/>
            <w:shd w:fill="FFFFFF" w:val="clear"/>
            <w:tcMar>
              <w:top w:type="dxa" w:w="60"/>
              <w:left w:type="dxa" w:w="120"/>
              <w:bottom w:type="dxa" w:w="60"/>
              <w:right w:type="dxa" w:w="120"/>
            </w:tcMar>
          </w:tcPr>
          <w:p>
            <w:r>
              <w:rPr>
                <w:rFonts w:ascii="Calibri" w:eastAsia="Microsoft YaHei"/>
                <w:color w:val="1A2B40"/>
                <w:sz w:val="19"/>
                <w:szCs w:val="19"/>
              </w:rPr>
              <w:t xml:space="preserve">Restore from the data backup or npm run db:reset (dev data is reproducible); never run DB-writing tooling while the API is live</w:t>
            </w:r>
          </w:p>
        </w:tc>
      </w:tr>
      <w:tr>
        <w:trPr>
          <w:cantSplit/>
        </w:trPr>
        <w:tc>
          <w:tcPr>
            <w:tcW w:type="dxa" w:w="2500"/>
            <w:shd w:fill="F4F8FC" w:val="clear"/>
            <w:tcMar>
              <w:top w:type="dxa" w:w="60"/>
              <w:left w:type="dxa" w:w="120"/>
              <w:bottom w:type="dxa" w:w="60"/>
              <w:right w:type="dxa" w:w="120"/>
            </w:tcMar>
          </w:tcPr>
          <w:p>
            <w:r>
              <w:rPr>
                <w:rFonts w:ascii="Calibri" w:eastAsia="Microsoft YaHei"/>
                <w:color w:val="1A2B40"/>
                <w:sz w:val="19"/>
                <w:szCs w:val="19"/>
              </w:rPr>
              <w:t xml:space="preserve">Health says ok but content queries 500</w:t>
            </w:r>
          </w:p>
        </w:tc>
        <w:tc>
          <w:tcPr>
            <w:tcW w:type="dxa" w:w="2900"/>
            <w:shd w:fill="F4F8FC" w:val="clear"/>
            <w:tcMar>
              <w:top w:type="dxa" w:w="60"/>
              <w:left w:type="dxa" w:w="120"/>
              <w:bottom w:type="dxa" w:w="60"/>
              <w:right w:type="dxa" w:w="120"/>
            </w:tcMar>
          </w:tcPr>
          <w:p>
            <w:r>
              <w:rPr>
                <w:rFonts w:ascii="Calibri" w:eastAsia="Microsoft YaHei"/>
                <w:color w:val="1A2B40"/>
                <w:sz w:val="19"/>
                <w:szCs w:val="19"/>
              </w:rPr>
              <w:t xml:space="preserve">A migration was journaled but not applied (known embedded-migrator trap)</w:t>
            </w:r>
          </w:p>
        </w:tc>
        <w:tc>
          <w:tcPr>
            <w:tcW w:type="dxa" w:w="3600"/>
            <w:shd w:fill="F4F8FC" w:val="clear"/>
            <w:tcMar>
              <w:top w:type="dxa" w:w="60"/>
              <w:left w:type="dxa" w:w="120"/>
              <w:bottom w:type="dxa" w:w="60"/>
              <w:right w:type="dxa" w:w="120"/>
            </w:tcMar>
          </w:tcPr>
          <w:p>
            <w:r>
              <w:rPr>
                <w:rFonts w:ascii="Calibri" w:eastAsia="Microsoft YaHei"/>
                <w:color w:val="1A2B40"/>
                <w:sz w:val="19"/>
                <w:szCs w:val="19"/>
              </w:rPr>
              <w:t xml:space="preserve">Verify new columns in information_schema; apply the migration SQL directly if missing (forward-only, idempotent statements)</w:t>
            </w:r>
          </w:p>
        </w:tc>
      </w:tr>
      <w:tr>
        <w:trPr>
          <w:cantSplit/>
        </w:trPr>
        <w:tc>
          <w:tcPr>
            <w:tcW w:type="dxa" w:w="2500"/>
            <w:shd w:fill="FFFFFF" w:val="clear"/>
            <w:tcMar>
              <w:top w:type="dxa" w:w="60"/>
              <w:left w:type="dxa" w:w="120"/>
              <w:bottom w:type="dxa" w:w="60"/>
              <w:right w:type="dxa" w:w="120"/>
            </w:tcMar>
          </w:tcPr>
          <w:p>
            <w:r>
              <w:rPr>
                <w:rFonts w:ascii="Calibri" w:eastAsia="Microsoft YaHei"/>
                <w:color w:val="1A2B40"/>
                <w:sz w:val="19"/>
                <w:szCs w:val="19"/>
              </w:rPr>
              <w:t xml:space="preserve">Admin edits don't appear on the site</w:t>
            </w:r>
          </w:p>
        </w:tc>
        <w:tc>
          <w:tcPr>
            <w:tcW w:type="dxa" w:w="2900"/>
            <w:shd w:fill="FFFFFF" w:val="clear"/>
            <w:tcMar>
              <w:top w:type="dxa" w:w="60"/>
              <w:left w:type="dxa" w:w="120"/>
              <w:bottom w:type="dxa" w:w="60"/>
              <w:right w:type="dxa" w:w="120"/>
            </w:tcMar>
          </w:tcPr>
          <w:p>
            <w:r>
              <w:rPr>
                <w:rFonts w:ascii="Calibri" w:eastAsia="Microsoft YaHei"/>
                <w:color w:val="1A2B40"/>
                <w:sz w:val="19"/>
                <w:szCs w:val="19"/>
              </w:rPr>
              <w:t xml:space="preserve">Content export not re-run (dev/staging)</w:t>
            </w:r>
          </w:p>
        </w:tc>
        <w:tc>
          <w:tcPr>
            <w:tcW w:type="dxa" w:w="3600"/>
            <w:shd w:fill="FFFFFF" w:val="clear"/>
            <w:tcMar>
              <w:top w:type="dxa" w:w="60"/>
              <w:left w:type="dxa" w:w="120"/>
              <w:bottom w:type="dxa" w:w="60"/>
              <w:right w:type="dxa" w:w="120"/>
            </w:tcMar>
          </w:tcPr>
          <w:p>
            <w:r>
              <w:rPr>
                <w:rFonts w:ascii="Calibri" w:eastAsia="Microsoft YaHei"/>
                <w:color w:val="1A2B40"/>
                <w:sz w:val="19"/>
                <w:szCs w:val="19"/>
              </w:rPr>
              <w:t xml:space="preserve">Re-run tooling/export-content.mjs and refresh; production builds export automatically</w:t>
            </w:r>
          </w:p>
        </w:tc>
      </w:tr>
      <w:tr>
        <w:trPr>
          <w:cantSplit/>
        </w:trPr>
        <w:tc>
          <w:tcPr>
            <w:tcW w:type="dxa" w:w="2500"/>
            <w:shd w:fill="F4F8FC" w:val="clear"/>
            <w:tcMar>
              <w:top w:type="dxa" w:w="60"/>
              <w:left w:type="dxa" w:w="120"/>
              <w:bottom w:type="dxa" w:w="60"/>
              <w:right w:type="dxa" w:w="120"/>
            </w:tcMar>
          </w:tcPr>
          <w:p>
            <w:r>
              <w:rPr>
                <w:rFonts w:ascii="Calibri" w:eastAsia="Microsoft YaHei"/>
                <w:color w:val="1A2B40"/>
                <w:sz w:val="19"/>
                <w:szCs w:val="19"/>
              </w:rPr>
              <w:t xml:space="preserve">429s from legitimate traffic</w:t>
            </w:r>
          </w:p>
        </w:tc>
        <w:tc>
          <w:tcPr>
            <w:tcW w:type="dxa" w:w="2900"/>
            <w:shd w:fill="F4F8FC" w:val="clear"/>
            <w:tcMar>
              <w:top w:type="dxa" w:w="60"/>
              <w:left w:type="dxa" w:w="120"/>
              <w:bottom w:type="dxa" w:w="60"/>
              <w:right w:type="dxa" w:w="120"/>
            </w:tcMar>
          </w:tcPr>
          <w:p>
            <w:r>
              <w:rPr>
                <w:rFonts w:ascii="Calibri" w:eastAsia="Microsoft YaHei"/>
                <w:color w:val="1A2B40"/>
                <w:sz w:val="19"/>
                <w:szCs w:val="19"/>
              </w:rPr>
              <w:t xml:space="preserve">Rate buckets keyed on proxy IP — TRUST_PROXY unset</w:t>
            </w:r>
          </w:p>
        </w:tc>
        <w:tc>
          <w:tcPr>
            <w:tcW w:type="dxa" w:w="3600"/>
            <w:shd w:fill="F4F8FC" w:val="clear"/>
            <w:tcMar>
              <w:top w:type="dxa" w:w="60"/>
              <w:left w:type="dxa" w:w="120"/>
              <w:bottom w:type="dxa" w:w="60"/>
              <w:right w:type="dxa" w:w="120"/>
            </w:tcMar>
          </w:tcPr>
          <w:p>
            <w:r>
              <w:rPr>
                <w:rFonts w:ascii="Calibri" w:eastAsia="Microsoft YaHei"/>
                <w:color w:val="1A2B40"/>
                <w:sz w:val="19"/>
                <w:szCs w:val="19"/>
              </w:rPr>
              <w:t xml:space="preserve">Set TRUST_PROXY=1 so cf-connecting-ip is honored</w:t>
            </w:r>
          </w:p>
        </w:tc>
      </w:tr>
      <w:tr>
        <w:trPr>
          <w:cantSplit/>
        </w:trPr>
        <w:tc>
          <w:tcPr>
            <w:tcW w:type="dxa" w:w="2500"/>
            <w:shd w:fill="FFFFFF" w:val="clear"/>
            <w:tcMar>
              <w:top w:type="dxa" w:w="60"/>
              <w:left w:type="dxa" w:w="120"/>
              <w:bottom w:type="dxa" w:w="60"/>
              <w:right w:type="dxa" w:w="120"/>
            </w:tcMar>
          </w:tcPr>
          <w:p>
            <w:r>
              <w:rPr>
                <w:rFonts w:ascii="Calibri" w:eastAsia="Microsoft YaHei"/>
                <w:color w:val="1A2B40"/>
                <w:sz w:val="19"/>
                <w:szCs w:val="19"/>
              </w:rPr>
              <w:t xml:space="preserve">Turnstile never renders</w:t>
            </w:r>
          </w:p>
        </w:tc>
        <w:tc>
          <w:tcPr>
            <w:tcW w:type="dxa" w:w="2900"/>
            <w:shd w:fill="FFFFFF" w:val="clear"/>
            <w:tcMar>
              <w:top w:type="dxa" w:w="60"/>
              <w:left w:type="dxa" w:w="120"/>
              <w:bottom w:type="dxa" w:w="60"/>
              <w:right w:type="dxa" w:w="120"/>
            </w:tcMar>
          </w:tcPr>
          <w:p>
            <w:r>
              <w:rPr>
                <w:rFonts w:ascii="Calibri" w:eastAsia="Microsoft YaHei"/>
                <w:color w:val="1A2B40"/>
                <w:sz w:val="19"/>
                <w:szCs w:val="19"/>
              </w:rPr>
              <w:t xml:space="preserve">PUBLIC_TURNSTILE_SITE_KEY not baked into the build</w:t>
            </w:r>
          </w:p>
        </w:tc>
        <w:tc>
          <w:tcPr>
            <w:tcW w:type="dxa" w:w="3600"/>
            <w:shd w:fill="FFFFFF" w:val="clear"/>
            <w:tcMar>
              <w:top w:type="dxa" w:w="60"/>
              <w:left w:type="dxa" w:w="120"/>
              <w:bottom w:type="dxa" w:w="60"/>
              <w:right w:type="dxa" w:w="120"/>
            </w:tcMar>
          </w:tcPr>
          <w:p>
            <w:r>
              <w:rPr>
                <w:rFonts w:ascii="Calibri" w:eastAsia="Microsoft YaHei"/>
                <w:color w:val="1A2B40"/>
                <w:sz w:val="19"/>
                <w:szCs w:val="19"/>
              </w:rPr>
              <w:t xml:space="preserve">Rebuild the web bundle with the site key (see §7.5)</w:t>
            </w:r>
          </w:p>
        </w:tc>
      </w:tr>
      <w:tr>
        <w:trPr>
          <w:cantSplit/>
        </w:trPr>
        <w:tc>
          <w:tcPr>
            <w:tcW w:type="dxa" w:w="2500"/>
            <w:shd w:fill="F4F8FC" w:val="clear"/>
            <w:tcMar>
              <w:top w:type="dxa" w:w="60"/>
              <w:left w:type="dxa" w:w="120"/>
              <w:bottom w:type="dxa" w:w="60"/>
              <w:right w:type="dxa" w:w="120"/>
            </w:tcMar>
          </w:tcPr>
          <w:p>
            <w:r>
              <w:rPr>
                <w:rFonts w:ascii="Calibri" w:eastAsia="Microsoft YaHei"/>
                <w:color w:val="1A2B40"/>
                <w:sz w:val="19"/>
                <w:szCs w:val="19"/>
              </w:rPr>
              <w:t xml:space="preserve">Uploads fail with size errors</w:t>
            </w:r>
          </w:p>
        </w:tc>
        <w:tc>
          <w:tcPr>
            <w:tcW w:type="dxa" w:w="2900"/>
            <w:shd w:fill="F4F8FC" w:val="clear"/>
            <w:tcMar>
              <w:top w:type="dxa" w:w="60"/>
              <w:left w:type="dxa" w:w="120"/>
              <w:bottom w:type="dxa" w:w="60"/>
              <w:right w:type="dxa" w:w="120"/>
            </w:tcMar>
          </w:tcPr>
          <w:p>
            <w:r>
              <w:rPr>
                <w:rFonts w:ascii="Calibri" w:eastAsia="Microsoft YaHei"/>
                <w:color w:val="1A2B40"/>
                <w:sz w:val="19"/>
                <w:szCs w:val="19"/>
              </w:rPr>
              <w:t xml:space="preserve">nginx client_max_body_size vs MEDIA/PARTNER caps</w:t>
            </w:r>
          </w:p>
        </w:tc>
        <w:tc>
          <w:tcPr>
            <w:tcW w:type="dxa" w:w="3600"/>
            <w:shd w:fill="F4F8FC" w:val="clear"/>
            <w:tcMar>
              <w:top w:type="dxa" w:w="60"/>
              <w:left w:type="dxa" w:w="120"/>
              <w:bottom w:type="dxa" w:w="60"/>
              <w:right w:type="dxa" w:w="120"/>
            </w:tcMar>
          </w:tcPr>
          <w:p>
            <w:r>
              <w:rPr>
                <w:rFonts w:ascii="Calibri" w:eastAsia="Microsoft YaHei"/>
                <w:color w:val="1A2B40"/>
                <w:sz w:val="19"/>
                <w:szCs w:val="19"/>
              </w:rPr>
              <w:t xml:space="preserve">nginx caps at 30 MB; env caps default 10 MB media / 25 MB partner files</w:t>
            </w:r>
          </w:p>
        </w:tc>
      </w:tr>
    </w:tbl>
    <w:p>
      <w:pPr>
        <w:spacing w:after="120"/>
      </w:pPr>
    </w:p>
    <w:p>
      <w:pPr>
        <w:pStyle w:val="Heading2"/>
        <w:spacing w:after="120" w:before="300"/>
      </w:pPr>
      <w:bookmarkStart w:id="100072" w:name="_Toc100072"/>
      <w:r>
        <w:rPr>
          <w:rFonts w:ascii="Calibri" w:eastAsia="SimHei"/>
          <w:b/>
          <w:bCs/>
          <w:color w:val="0A1628"/>
          <w:sz w:val="28"/>
          <w:szCs w:val="28"/>
        </w:rPr>
        <w:t xml:space="preserve">9.2 Escalation Path</w:t>
      </w:r>
      <w:bookmarkEnd w:id="100072"/>
    </w:p>
    <w:p>
      <w:pPr>
        <w:pStyle w:val="ListParagraph"/>
        <w:numPr>
          <w:ilvl w:val="0"/>
          <w:numId w:val="25"/>
        </w:numPr>
        <w:spacing w:after="60" w:line="312"/>
      </w:pPr>
      <w:r>
        <w:rPr>
          <w:rFonts w:ascii="Calibri" w:eastAsia="Microsoft YaHei"/>
          <w:color w:val="1A2B40"/>
          <w:sz w:val="22"/>
          <w:szCs w:val="22"/>
        </w:rPr>
        <w:t xml:space="preserve">Check systemd journal for twinmos-api first (journalctl -u twinmos-api -n 200).</w:t>
      </w:r>
    </w:p>
    <w:p>
      <w:pPr>
        <w:pStyle w:val="ListParagraph"/>
        <w:numPr>
          <w:ilvl w:val="0"/>
          <w:numId w:val="25"/>
        </w:numPr>
        <w:spacing w:after="60" w:line="312"/>
      </w:pPr>
      <w:r>
        <w:rPr>
          <w:rFonts w:ascii="Calibri" w:eastAsia="Microsoft YaHei"/>
          <w:color w:val="1A2B40"/>
          <w:sz w:val="22"/>
          <w:szCs w:val="22"/>
        </w:rPr>
        <w:t xml:space="preserve">Reproduce API issues directly: curl the endpoint on 127.0.0.1:8787 to bypass edge and browser layers.</w:t>
      </w:r>
    </w:p>
    <w:p>
      <w:pPr>
        <w:pStyle w:val="ListParagraph"/>
        <w:numPr>
          <w:ilvl w:val="0"/>
          <w:numId w:val="25"/>
        </w:numPr>
        <w:spacing w:after="60" w:line="312"/>
      </w:pPr>
      <w:r>
        <w:rPr>
          <w:rFonts w:ascii="Calibri" w:eastAsia="Microsoft YaHei"/>
          <w:color w:val="1A2B40"/>
          <w:sz w:val="22"/>
          <w:szCs w:val="22"/>
        </w:rPr>
        <w:t xml:space="preserve">Consult docs/runbooks/DR.md for data-layer incidents and HYPERCARE.md during the post-launch window.</w:t>
      </w:r>
    </w:p>
    <w:p>
      <w:pPr>
        <w:pStyle w:val="ListParagraph"/>
        <w:numPr>
          <w:ilvl w:val="0"/>
          <w:numId w:val="25"/>
        </w:numPr>
        <w:spacing w:after="60" w:line="312"/>
      </w:pPr>
      <w:r>
        <w:rPr>
          <w:rFonts w:ascii="Calibri" w:eastAsia="Microsoft YaHei"/>
          <w:color w:val="1A2B40"/>
          <w:sz w:val="22"/>
          <w:szCs w:val="22"/>
        </w:rPr>
        <w:t xml:space="preserve">The audit log answers who changed what; the phase-evidence files document every gate's last green run.</w:t>
      </w:r>
    </w:p>
    <w:p>
      <w:pPr>
        <w:pStyle w:val="Heading1"/>
        <w:spacing w:after="160" w:before="400"/>
      </w:pPr>
      <w:bookmarkStart w:id="100073" w:name="_Toc100073"/>
      <w:r>
        <w:rPr>
          <w:rFonts w:ascii="Calibri" w:eastAsia="SimHei"/>
          <w:b/>
          <w:bCs/>
          <w:color w:val="0A1628"/>
          <w:sz w:val="34"/>
          <w:szCs w:val="34"/>
        </w:rPr>
        <w:t xml:space="preserve">10. Appendices</w:t>
      </w:r>
      <w:bookmarkEnd w:id="100073"/>
    </w:p>
    <w:p>
      <w:pPr>
        <w:pStyle w:val="Heading2"/>
        <w:spacing w:after="120" w:before="300"/>
      </w:pPr>
      <w:bookmarkStart w:id="100074" w:name="_Toc100074"/>
      <w:r>
        <w:rPr>
          <w:rFonts w:ascii="Calibri" w:eastAsia="SimHei"/>
          <w:b/>
          <w:bCs/>
          <w:color w:val="0A1628"/>
          <w:sz w:val="28"/>
          <w:szCs w:val="28"/>
        </w:rPr>
        <w:t xml:space="preserve">10.1 Appendix A — Environment Variables Reference (Production)</w:t>
      </w:r>
      <w:bookmarkEnd w:id="100074"/>
    </w:p>
    <w:tbl>
      <w:tblPr>
        <w:tblW w:type="dxa" w:w="9200"/>
        <w:tblBorders>
          <w:top w:val="single" w:color="D5DDE7" w:sz="4"/>
          <w:left w:val="single" w:color="D5DDE7" w:sz="4"/>
          <w:bottom w:val="single" w:color="D5DDE7" w:sz="4"/>
          <w:right w:val="single" w:color="D5DDE7" w:sz="4"/>
          <w:insideH w:val="single" w:color="E6EBF1" w:sz="2"/>
          <w:insideV w:val="single" w:color="E6EBF1" w:sz="2"/>
        </w:tblBorders>
        <w:tblLayout w:type="fixed"/>
      </w:tblPr>
      <w:tblGrid>
        <w:gridCol w:w="3000"/>
        <w:gridCol w:w="1200"/>
        <w:gridCol w:w="4800"/>
      </w:tblGrid>
      <w:tr>
        <w:trPr>
          <w:cantSplit/>
          <w:tblHeader/>
        </w:trPr>
        <w:tc>
          <w:tcPr>
            <w:tcW w:type="dxa" w:w="3000"/>
            <w:shd w:fill="0A1628" w:val="clear"/>
            <w:tcMar>
              <w:top w:type="dxa" w:w="80"/>
              <w:left w:type="dxa" w:w="120"/>
              <w:bottom w:type="dxa" w:w="80"/>
              <w:right w:type="dxa" w:w="120"/>
            </w:tcMar>
            <w:vAlign w:val="center"/>
          </w:tcPr>
          <w:p>
            <w:r>
              <w:rPr>
                <w:rFonts w:ascii="Calibri" w:eastAsia="Microsoft YaHei"/>
                <w:b/>
                <w:bCs/>
                <w:color w:val="FFFFFF"/>
                <w:sz w:val="19"/>
                <w:szCs w:val="19"/>
              </w:rPr>
              <w:t xml:space="preserve">Variable</w:t>
            </w:r>
          </w:p>
        </w:tc>
        <w:tc>
          <w:tcPr>
            <w:tcW w:type="dxa" w:w="1200"/>
            <w:shd w:fill="0A1628" w:val="clear"/>
            <w:tcMar>
              <w:top w:type="dxa" w:w="80"/>
              <w:left w:type="dxa" w:w="120"/>
              <w:bottom w:type="dxa" w:w="80"/>
              <w:right w:type="dxa" w:w="120"/>
            </w:tcMar>
            <w:vAlign w:val="center"/>
          </w:tcPr>
          <w:p>
            <w:r>
              <w:rPr>
                <w:rFonts w:ascii="Calibri" w:eastAsia="Microsoft YaHei"/>
                <w:b/>
                <w:bCs/>
                <w:color w:val="FFFFFF"/>
                <w:sz w:val="19"/>
                <w:szCs w:val="19"/>
              </w:rPr>
              <w:t xml:space="preserve">Required</w:t>
            </w:r>
          </w:p>
        </w:tc>
        <w:tc>
          <w:tcPr>
            <w:tcW w:type="dxa" w:w="4800"/>
            <w:shd w:fill="0A1628" w:val="clear"/>
            <w:tcMar>
              <w:top w:type="dxa" w:w="80"/>
              <w:left w:type="dxa" w:w="120"/>
              <w:bottom w:type="dxa" w:w="80"/>
              <w:right w:type="dxa" w:w="120"/>
            </w:tcMar>
            <w:vAlign w:val="center"/>
          </w:tcPr>
          <w:p>
            <w:r>
              <w:rPr>
                <w:rFonts w:ascii="Calibri" w:eastAsia="Microsoft YaHei"/>
                <w:b/>
                <w:bCs/>
                <w:color w:val="FFFFFF"/>
                <w:sz w:val="19"/>
                <w:szCs w:val="19"/>
              </w:rPr>
              <w:t xml:space="preserve">Purpose</w:t>
            </w:r>
          </w:p>
        </w:tc>
      </w:tr>
      <w:tr>
        <w:trPr>
          <w:cantSplit/>
        </w:trPr>
        <w:tc>
          <w:tcPr>
            <w:tcW w:type="dxa" w:w="3000"/>
            <w:shd w:fill="FFFFFF" w:val="clear"/>
            <w:tcMar>
              <w:top w:type="dxa" w:w="60"/>
              <w:left w:type="dxa" w:w="120"/>
              <w:bottom w:type="dxa" w:w="60"/>
              <w:right w:type="dxa" w:w="120"/>
            </w:tcMar>
          </w:tcPr>
          <w:p>
            <w:r>
              <w:rPr>
                <w:rFonts w:ascii="Calibri" w:eastAsia="Microsoft YaHei"/>
                <w:color w:val="1A2B40"/>
                <w:sz w:val="19"/>
                <w:szCs w:val="19"/>
              </w:rPr>
              <w:t xml:space="preserve">NODE_ENV</w:t>
            </w:r>
          </w:p>
        </w:tc>
        <w:tc>
          <w:tcPr>
            <w:tcW w:type="dxa" w:w="1200"/>
            <w:shd w:fill="FFFFFF" w:val="clear"/>
            <w:tcMar>
              <w:top w:type="dxa" w:w="60"/>
              <w:left w:type="dxa" w:w="120"/>
              <w:bottom w:type="dxa" w:w="60"/>
              <w:right w:type="dxa" w:w="120"/>
            </w:tcMar>
          </w:tcPr>
          <w:p>
            <w:r>
              <w:rPr>
                <w:rFonts w:ascii="Calibri" w:eastAsia="Microsoft YaHei"/>
                <w:color w:val="1A2B40"/>
                <w:sz w:val="19"/>
                <w:szCs w:val="19"/>
              </w:rPr>
              <w:t xml:space="preserve">Yes</w:t>
            </w:r>
          </w:p>
        </w:tc>
        <w:tc>
          <w:tcPr>
            <w:tcW w:type="dxa" w:w="4800"/>
            <w:shd w:fill="FFFFFF" w:val="clear"/>
            <w:tcMar>
              <w:top w:type="dxa" w:w="60"/>
              <w:left w:type="dxa" w:w="120"/>
              <w:bottom w:type="dxa" w:w="60"/>
              <w:right w:type="dxa" w:w="120"/>
            </w:tcMar>
          </w:tcPr>
          <w:p>
            <w:r>
              <w:rPr>
                <w:rFonts w:ascii="Calibri" w:eastAsia="Microsoft YaHei"/>
                <w:color w:val="1A2B40"/>
                <w:sz w:val="19"/>
                <w:szCs w:val="19"/>
              </w:rPr>
              <w:t xml:space="preserve">production — also hard-refuses PGlite and dev bypass flags</w:t>
            </w:r>
          </w:p>
        </w:tc>
      </w:tr>
      <w:tr>
        <w:trPr>
          <w:cantSplit/>
        </w:trPr>
        <w:tc>
          <w:tcPr>
            <w:tcW w:type="dxa" w:w="3000"/>
            <w:shd w:fill="F4F8FC" w:val="clear"/>
            <w:tcMar>
              <w:top w:type="dxa" w:w="60"/>
              <w:left w:type="dxa" w:w="120"/>
              <w:bottom w:type="dxa" w:w="60"/>
              <w:right w:type="dxa" w:w="120"/>
            </w:tcMar>
          </w:tcPr>
          <w:p>
            <w:r>
              <w:rPr>
                <w:rFonts w:ascii="Calibri" w:eastAsia="Microsoft YaHei"/>
                <w:color w:val="1A2B40"/>
                <w:sz w:val="19"/>
                <w:szCs w:val="19"/>
              </w:rPr>
              <w:t xml:space="preserve">PORT</w:t>
            </w:r>
          </w:p>
        </w:tc>
        <w:tc>
          <w:tcPr>
            <w:tcW w:type="dxa" w:w="1200"/>
            <w:shd w:fill="F4F8FC" w:val="clear"/>
            <w:tcMar>
              <w:top w:type="dxa" w:w="60"/>
              <w:left w:type="dxa" w:w="120"/>
              <w:bottom w:type="dxa" w:w="60"/>
              <w:right w:type="dxa" w:w="120"/>
            </w:tcMar>
          </w:tcPr>
          <w:p>
            <w:r>
              <w:rPr>
                <w:rFonts w:ascii="Calibri" w:eastAsia="Microsoft YaHei"/>
                <w:color w:val="1A2B40"/>
                <w:sz w:val="19"/>
                <w:szCs w:val="19"/>
              </w:rPr>
              <w:t xml:space="preserve">Yes</w:t>
            </w:r>
          </w:p>
        </w:tc>
        <w:tc>
          <w:tcPr>
            <w:tcW w:type="dxa" w:w="4800"/>
            <w:shd w:fill="F4F8FC" w:val="clear"/>
            <w:tcMar>
              <w:top w:type="dxa" w:w="60"/>
              <w:left w:type="dxa" w:w="120"/>
              <w:bottom w:type="dxa" w:w="60"/>
              <w:right w:type="dxa" w:w="120"/>
            </w:tcMar>
          </w:tcPr>
          <w:p>
            <w:r>
              <w:rPr>
                <w:rFonts w:ascii="Calibri" w:eastAsia="Microsoft YaHei"/>
                <w:color w:val="1A2B40"/>
                <w:sz w:val="19"/>
                <w:szCs w:val="19"/>
              </w:rPr>
              <w:t xml:space="preserve">API listen port (8787)</w:t>
            </w:r>
          </w:p>
        </w:tc>
      </w:tr>
      <w:tr>
        <w:trPr>
          <w:cantSplit/>
        </w:trPr>
        <w:tc>
          <w:tcPr>
            <w:tcW w:type="dxa" w:w="3000"/>
            <w:shd w:fill="FFFFFF" w:val="clear"/>
            <w:tcMar>
              <w:top w:type="dxa" w:w="60"/>
              <w:left w:type="dxa" w:w="120"/>
              <w:bottom w:type="dxa" w:w="60"/>
              <w:right w:type="dxa" w:w="120"/>
            </w:tcMar>
          </w:tcPr>
          <w:p>
            <w:r>
              <w:rPr>
                <w:rFonts w:ascii="Calibri" w:eastAsia="Microsoft YaHei"/>
                <w:color w:val="1A2B40"/>
                <w:sz w:val="19"/>
                <w:szCs w:val="19"/>
              </w:rPr>
              <w:t xml:space="preserve">DATABASE_URL</w:t>
            </w:r>
          </w:p>
        </w:tc>
        <w:tc>
          <w:tcPr>
            <w:tcW w:type="dxa" w:w="1200"/>
            <w:shd w:fill="FFFFFF" w:val="clear"/>
            <w:tcMar>
              <w:top w:type="dxa" w:w="60"/>
              <w:left w:type="dxa" w:w="120"/>
              <w:bottom w:type="dxa" w:w="60"/>
              <w:right w:type="dxa" w:w="120"/>
            </w:tcMar>
          </w:tcPr>
          <w:p>
            <w:r>
              <w:rPr>
                <w:rFonts w:ascii="Calibri" w:eastAsia="Microsoft YaHei"/>
                <w:color w:val="1A2B40"/>
                <w:sz w:val="19"/>
                <w:szCs w:val="19"/>
              </w:rPr>
              <w:t xml:space="preserve">Yes</w:t>
            </w:r>
          </w:p>
        </w:tc>
        <w:tc>
          <w:tcPr>
            <w:tcW w:type="dxa" w:w="4800"/>
            <w:shd w:fill="FFFFFF" w:val="clear"/>
            <w:tcMar>
              <w:top w:type="dxa" w:w="60"/>
              <w:left w:type="dxa" w:w="120"/>
              <w:bottom w:type="dxa" w:w="60"/>
              <w:right w:type="dxa" w:w="120"/>
            </w:tcMar>
          </w:tcPr>
          <w:p>
            <w:r>
              <w:rPr>
                <w:rFonts w:ascii="Calibri" w:eastAsia="Microsoft YaHei"/>
                <w:color w:val="1A2B40"/>
                <w:sz w:val="19"/>
                <w:szCs w:val="19"/>
              </w:rPr>
              <w:t xml:space="preserve">postgres://user:pass@host:5432/twinmos</w:t>
            </w:r>
          </w:p>
        </w:tc>
      </w:tr>
      <w:tr>
        <w:trPr>
          <w:cantSplit/>
        </w:trPr>
        <w:tc>
          <w:tcPr>
            <w:tcW w:type="dxa" w:w="3000"/>
            <w:shd w:fill="F4F8FC" w:val="clear"/>
            <w:tcMar>
              <w:top w:type="dxa" w:w="60"/>
              <w:left w:type="dxa" w:w="120"/>
              <w:bottom w:type="dxa" w:w="60"/>
              <w:right w:type="dxa" w:w="120"/>
            </w:tcMar>
          </w:tcPr>
          <w:p>
            <w:r>
              <w:rPr>
                <w:rFonts w:ascii="Calibri" w:eastAsia="Microsoft YaHei"/>
                <w:color w:val="1A2B40"/>
                <w:sz w:val="19"/>
                <w:szCs w:val="19"/>
              </w:rPr>
              <w:t xml:space="preserve">BETTER_AUTH_URL</w:t>
            </w:r>
          </w:p>
        </w:tc>
        <w:tc>
          <w:tcPr>
            <w:tcW w:type="dxa" w:w="1200"/>
            <w:shd w:fill="F4F8FC" w:val="clear"/>
            <w:tcMar>
              <w:top w:type="dxa" w:w="60"/>
              <w:left w:type="dxa" w:w="120"/>
              <w:bottom w:type="dxa" w:w="60"/>
              <w:right w:type="dxa" w:w="120"/>
            </w:tcMar>
          </w:tcPr>
          <w:p>
            <w:r>
              <w:rPr>
                <w:rFonts w:ascii="Calibri" w:eastAsia="Microsoft YaHei"/>
                <w:color w:val="1A2B40"/>
                <w:sz w:val="19"/>
                <w:szCs w:val="19"/>
              </w:rPr>
              <w:t xml:space="preserve">Yes</w:t>
            </w:r>
          </w:p>
        </w:tc>
        <w:tc>
          <w:tcPr>
            <w:tcW w:type="dxa" w:w="4800"/>
            <w:shd w:fill="F4F8FC" w:val="clear"/>
            <w:tcMar>
              <w:top w:type="dxa" w:w="60"/>
              <w:left w:type="dxa" w:w="120"/>
              <w:bottom w:type="dxa" w:w="60"/>
              <w:right w:type="dxa" w:w="120"/>
            </w:tcMar>
          </w:tcPr>
          <w:p>
            <w:r>
              <w:rPr>
                <w:rFonts w:ascii="Calibri" w:eastAsia="Microsoft YaHei"/>
                <w:color w:val="1A2B40"/>
                <w:sz w:val="19"/>
                <w:szCs w:val="19"/>
              </w:rPr>
              <w:t xml:space="preserve">Public HTTPS origin; derives Secure cookies</w:t>
            </w:r>
          </w:p>
        </w:tc>
      </w:tr>
      <w:tr>
        <w:trPr>
          <w:cantSplit/>
        </w:trPr>
        <w:tc>
          <w:tcPr>
            <w:tcW w:type="dxa" w:w="3000"/>
            <w:shd w:fill="FFFFFF" w:val="clear"/>
            <w:tcMar>
              <w:top w:type="dxa" w:w="60"/>
              <w:left w:type="dxa" w:w="120"/>
              <w:bottom w:type="dxa" w:w="60"/>
              <w:right w:type="dxa" w:w="120"/>
            </w:tcMar>
          </w:tcPr>
          <w:p>
            <w:r>
              <w:rPr>
                <w:rFonts w:ascii="Calibri" w:eastAsia="Microsoft YaHei"/>
                <w:color w:val="1A2B40"/>
                <w:sz w:val="19"/>
                <w:szCs w:val="19"/>
              </w:rPr>
              <w:t xml:space="preserve">BETTER_AUTH_SECRET</w:t>
            </w:r>
          </w:p>
        </w:tc>
        <w:tc>
          <w:tcPr>
            <w:tcW w:type="dxa" w:w="1200"/>
            <w:shd w:fill="FFFFFF" w:val="clear"/>
            <w:tcMar>
              <w:top w:type="dxa" w:w="60"/>
              <w:left w:type="dxa" w:w="120"/>
              <w:bottom w:type="dxa" w:w="60"/>
              <w:right w:type="dxa" w:w="120"/>
            </w:tcMar>
          </w:tcPr>
          <w:p>
            <w:r>
              <w:rPr>
                <w:rFonts w:ascii="Calibri" w:eastAsia="Microsoft YaHei"/>
                <w:color w:val="1A2B40"/>
                <w:sz w:val="19"/>
                <w:szCs w:val="19"/>
              </w:rPr>
              <w:t xml:space="preserve">Yes</w:t>
            </w:r>
          </w:p>
        </w:tc>
        <w:tc>
          <w:tcPr>
            <w:tcW w:type="dxa" w:w="4800"/>
            <w:shd w:fill="FFFFFF" w:val="clear"/>
            <w:tcMar>
              <w:top w:type="dxa" w:w="60"/>
              <w:left w:type="dxa" w:w="120"/>
              <w:bottom w:type="dxa" w:w="60"/>
              <w:right w:type="dxa" w:w="120"/>
            </w:tcMar>
          </w:tcPr>
          <w:p>
            <w:r>
              <w:rPr>
                <w:rFonts w:ascii="Calibri" w:eastAsia="Microsoft YaHei"/>
                <w:color w:val="1A2B40"/>
                <w:sz w:val="19"/>
                <w:szCs w:val="19"/>
              </w:rPr>
              <w:t xml:space="preserve">From secret store</w:t>
            </w:r>
          </w:p>
        </w:tc>
      </w:tr>
      <w:tr>
        <w:trPr>
          <w:cantSplit/>
        </w:trPr>
        <w:tc>
          <w:tcPr>
            <w:tcW w:type="dxa" w:w="3000"/>
            <w:shd w:fill="F4F8FC" w:val="clear"/>
            <w:tcMar>
              <w:top w:type="dxa" w:w="60"/>
              <w:left w:type="dxa" w:w="120"/>
              <w:bottom w:type="dxa" w:w="60"/>
              <w:right w:type="dxa" w:w="120"/>
            </w:tcMar>
          </w:tcPr>
          <w:p>
            <w:r>
              <w:rPr>
                <w:rFonts w:ascii="Calibri" w:eastAsia="Microsoft YaHei"/>
                <w:color w:val="1A2B40"/>
                <w:sz w:val="19"/>
                <w:szCs w:val="19"/>
              </w:rPr>
              <w:t xml:space="preserve">ALLOWED_ORIGIN</w:t>
            </w:r>
          </w:p>
        </w:tc>
        <w:tc>
          <w:tcPr>
            <w:tcW w:type="dxa" w:w="1200"/>
            <w:shd w:fill="F4F8FC" w:val="clear"/>
            <w:tcMar>
              <w:top w:type="dxa" w:w="60"/>
              <w:left w:type="dxa" w:w="120"/>
              <w:bottom w:type="dxa" w:w="60"/>
              <w:right w:type="dxa" w:w="120"/>
            </w:tcMar>
          </w:tcPr>
          <w:p>
            <w:r>
              <w:rPr>
                <w:rFonts w:ascii="Calibri" w:eastAsia="Microsoft YaHei"/>
                <w:color w:val="1A2B40"/>
                <w:sz w:val="19"/>
                <w:szCs w:val="19"/>
              </w:rPr>
              <w:t xml:space="preserve">Yes</w:t>
            </w:r>
          </w:p>
        </w:tc>
        <w:tc>
          <w:tcPr>
            <w:tcW w:type="dxa" w:w="4800"/>
            <w:shd w:fill="F4F8FC" w:val="clear"/>
            <w:tcMar>
              <w:top w:type="dxa" w:w="60"/>
              <w:left w:type="dxa" w:w="120"/>
              <w:bottom w:type="dxa" w:w="60"/>
              <w:right w:type="dxa" w:w="120"/>
            </w:tcMar>
          </w:tcPr>
          <w:p>
            <w:r>
              <w:rPr>
                <w:rFonts w:ascii="Calibri" w:eastAsia="Microsoft YaHei"/>
                <w:color w:val="1A2B40"/>
                <w:sz w:val="19"/>
                <w:szCs w:val="19"/>
              </w:rPr>
              <w:t xml:space="preserve">CORS origin (same-origin in production)</w:t>
            </w:r>
          </w:p>
        </w:tc>
      </w:tr>
      <w:tr>
        <w:trPr>
          <w:cantSplit/>
        </w:trPr>
        <w:tc>
          <w:tcPr>
            <w:tcW w:type="dxa" w:w="3000"/>
            <w:shd w:fill="FFFFFF" w:val="clear"/>
            <w:tcMar>
              <w:top w:type="dxa" w:w="60"/>
              <w:left w:type="dxa" w:w="120"/>
              <w:bottom w:type="dxa" w:w="60"/>
              <w:right w:type="dxa" w:w="120"/>
            </w:tcMar>
          </w:tcPr>
          <w:p>
            <w:r>
              <w:rPr>
                <w:rFonts w:ascii="Calibri" w:eastAsia="Microsoft YaHei"/>
                <w:color w:val="1A2B40"/>
                <w:sz w:val="19"/>
                <w:szCs w:val="19"/>
              </w:rPr>
              <w:t xml:space="preserve">TRUST_PROXY</w:t>
            </w:r>
          </w:p>
        </w:tc>
        <w:tc>
          <w:tcPr>
            <w:tcW w:type="dxa" w:w="1200"/>
            <w:shd w:fill="FFFFFF" w:val="clear"/>
            <w:tcMar>
              <w:top w:type="dxa" w:w="60"/>
              <w:left w:type="dxa" w:w="120"/>
              <w:bottom w:type="dxa" w:w="60"/>
              <w:right w:type="dxa" w:w="120"/>
            </w:tcMar>
          </w:tcPr>
          <w:p>
            <w:r>
              <w:rPr>
                <w:rFonts w:ascii="Calibri" w:eastAsia="Microsoft YaHei"/>
                <w:color w:val="1A2B40"/>
                <w:sz w:val="19"/>
                <w:szCs w:val="19"/>
              </w:rPr>
              <w:t xml:space="preserve">Yes</w:t>
            </w:r>
          </w:p>
        </w:tc>
        <w:tc>
          <w:tcPr>
            <w:tcW w:type="dxa" w:w="4800"/>
            <w:shd w:fill="FFFFFF" w:val="clear"/>
            <w:tcMar>
              <w:top w:type="dxa" w:w="60"/>
              <w:left w:type="dxa" w:w="120"/>
              <w:bottom w:type="dxa" w:w="60"/>
              <w:right w:type="dxa" w:w="120"/>
            </w:tcMar>
          </w:tcPr>
          <w:p>
            <w:r>
              <w:rPr>
                <w:rFonts w:ascii="Calibri" w:eastAsia="Microsoft YaHei"/>
                <w:color w:val="1A2B40"/>
                <w:sz w:val="19"/>
                <w:szCs w:val="19"/>
              </w:rPr>
              <w:t xml:space="preserve">Trust cf-connecting-ip for rate limiting</w:t>
            </w:r>
          </w:p>
        </w:tc>
      </w:tr>
      <w:tr>
        <w:trPr>
          <w:cantSplit/>
        </w:trPr>
        <w:tc>
          <w:tcPr>
            <w:tcW w:type="dxa" w:w="3000"/>
            <w:shd w:fill="F4F8FC" w:val="clear"/>
            <w:tcMar>
              <w:top w:type="dxa" w:w="60"/>
              <w:left w:type="dxa" w:w="120"/>
              <w:bottom w:type="dxa" w:w="60"/>
              <w:right w:type="dxa" w:w="120"/>
            </w:tcMar>
          </w:tcPr>
          <w:p>
            <w:r>
              <w:rPr>
                <w:rFonts w:ascii="Calibri" w:eastAsia="Microsoft YaHei"/>
                <w:color w:val="1A2B40"/>
                <w:sz w:val="19"/>
                <w:szCs w:val="19"/>
              </w:rPr>
              <w:t xml:space="preserve">RESEND_API_KEY / MAIL_FROM / FORMS_TO</w:t>
            </w:r>
          </w:p>
        </w:tc>
        <w:tc>
          <w:tcPr>
            <w:tcW w:type="dxa" w:w="1200"/>
            <w:shd w:fill="F4F8FC" w:val="clear"/>
            <w:tcMar>
              <w:top w:type="dxa" w:w="60"/>
              <w:left w:type="dxa" w:w="120"/>
              <w:bottom w:type="dxa" w:w="60"/>
              <w:right w:type="dxa" w:w="120"/>
            </w:tcMar>
          </w:tcPr>
          <w:p>
            <w:r>
              <w:rPr>
                <w:rFonts w:ascii="Calibri" w:eastAsia="Microsoft YaHei"/>
                <w:color w:val="1A2B40"/>
                <w:sz w:val="19"/>
                <w:szCs w:val="19"/>
              </w:rPr>
              <w:t xml:space="preserve">Yes</w:t>
            </w:r>
          </w:p>
        </w:tc>
        <w:tc>
          <w:tcPr>
            <w:tcW w:type="dxa" w:w="4800"/>
            <w:shd w:fill="F4F8FC" w:val="clear"/>
            <w:tcMar>
              <w:top w:type="dxa" w:w="60"/>
              <w:left w:type="dxa" w:w="120"/>
              <w:bottom w:type="dxa" w:w="60"/>
              <w:right w:type="dxa" w:w="120"/>
            </w:tcMar>
          </w:tcPr>
          <w:p>
            <w:r>
              <w:rPr>
                <w:rFonts w:ascii="Calibri" w:eastAsia="Microsoft YaHei"/>
                <w:color w:val="1A2B40"/>
                <w:sz w:val="19"/>
                <w:szCs w:val="19"/>
              </w:rPr>
              <w:t xml:space="preserve">Transactional mail and routing (per-type overrides: RMA_TO, QUOTE_TO…)</w:t>
            </w:r>
          </w:p>
        </w:tc>
      </w:tr>
      <w:tr>
        <w:trPr>
          <w:cantSplit/>
        </w:trPr>
        <w:tc>
          <w:tcPr>
            <w:tcW w:type="dxa" w:w="3000"/>
            <w:shd w:fill="FFFFFF" w:val="clear"/>
            <w:tcMar>
              <w:top w:type="dxa" w:w="60"/>
              <w:left w:type="dxa" w:w="120"/>
              <w:bottom w:type="dxa" w:w="60"/>
              <w:right w:type="dxa" w:w="120"/>
            </w:tcMar>
          </w:tcPr>
          <w:p>
            <w:r>
              <w:rPr>
                <w:rFonts w:ascii="Calibri" w:eastAsia="Microsoft YaHei"/>
                <w:color w:val="1A2B40"/>
                <w:sz w:val="19"/>
                <w:szCs w:val="19"/>
              </w:rPr>
              <w:t xml:space="preserve">TURNSTILE_SECRET_KEY</w:t>
            </w:r>
          </w:p>
        </w:tc>
        <w:tc>
          <w:tcPr>
            <w:tcW w:type="dxa" w:w="1200"/>
            <w:shd w:fill="FFFFFF" w:val="clear"/>
            <w:tcMar>
              <w:top w:type="dxa" w:w="60"/>
              <w:left w:type="dxa" w:w="120"/>
              <w:bottom w:type="dxa" w:w="60"/>
              <w:right w:type="dxa" w:w="120"/>
            </w:tcMar>
          </w:tcPr>
          <w:p>
            <w:r>
              <w:rPr>
                <w:rFonts w:ascii="Calibri" w:eastAsia="Microsoft YaHei"/>
                <w:color w:val="1A2B40"/>
                <w:sz w:val="19"/>
                <w:szCs w:val="19"/>
              </w:rPr>
              <w:t xml:space="preserve">Yes</w:t>
            </w:r>
          </w:p>
        </w:tc>
        <w:tc>
          <w:tcPr>
            <w:tcW w:type="dxa" w:w="4800"/>
            <w:shd w:fill="FFFFFF" w:val="clear"/>
            <w:tcMar>
              <w:top w:type="dxa" w:w="60"/>
              <w:left w:type="dxa" w:w="120"/>
              <w:bottom w:type="dxa" w:w="60"/>
              <w:right w:type="dxa" w:w="120"/>
            </w:tcMar>
          </w:tcPr>
          <w:p>
            <w:r>
              <w:rPr>
                <w:rFonts w:ascii="Calibri" w:eastAsia="Microsoft YaHei"/>
                <w:color w:val="1A2B40"/>
                <w:sz w:val="19"/>
                <w:szCs w:val="19"/>
              </w:rPr>
              <w:t xml:space="preserve">Server-side captcha verification</w:t>
            </w:r>
          </w:p>
        </w:tc>
      </w:tr>
      <w:tr>
        <w:trPr>
          <w:cantSplit/>
        </w:trPr>
        <w:tc>
          <w:tcPr>
            <w:tcW w:type="dxa" w:w="3000"/>
            <w:shd w:fill="F4F8FC" w:val="clear"/>
            <w:tcMar>
              <w:top w:type="dxa" w:w="60"/>
              <w:left w:type="dxa" w:w="120"/>
              <w:bottom w:type="dxa" w:w="60"/>
              <w:right w:type="dxa" w:w="120"/>
            </w:tcMar>
          </w:tcPr>
          <w:p>
            <w:r>
              <w:rPr>
                <w:rFonts w:ascii="Calibri" w:eastAsia="Microsoft YaHei"/>
                <w:color w:val="1A2B40"/>
                <w:sz w:val="19"/>
                <w:szCs w:val="19"/>
              </w:rPr>
              <w:t xml:space="preserve">PUBLIC_TURNSTILE_SITE_KEY</w:t>
            </w:r>
          </w:p>
        </w:tc>
        <w:tc>
          <w:tcPr>
            <w:tcW w:type="dxa" w:w="1200"/>
            <w:shd w:fill="F4F8FC" w:val="clear"/>
            <w:tcMar>
              <w:top w:type="dxa" w:w="60"/>
              <w:left w:type="dxa" w:w="120"/>
              <w:bottom w:type="dxa" w:w="60"/>
              <w:right w:type="dxa" w:w="120"/>
            </w:tcMar>
          </w:tcPr>
          <w:p>
            <w:r>
              <w:rPr>
                <w:rFonts w:ascii="Calibri" w:eastAsia="Microsoft YaHei"/>
                <w:color w:val="1A2B40"/>
                <w:sz w:val="19"/>
                <w:szCs w:val="19"/>
              </w:rPr>
              <w:t xml:space="preserve">Build-time</w:t>
            </w:r>
          </w:p>
        </w:tc>
        <w:tc>
          <w:tcPr>
            <w:tcW w:type="dxa" w:w="4800"/>
            <w:shd w:fill="F4F8FC" w:val="clear"/>
            <w:tcMar>
              <w:top w:type="dxa" w:w="60"/>
              <w:left w:type="dxa" w:w="120"/>
              <w:bottom w:type="dxa" w:w="60"/>
              <w:right w:type="dxa" w:w="120"/>
            </w:tcMar>
          </w:tcPr>
          <w:p>
            <w:r>
              <w:rPr>
                <w:rFonts w:ascii="Calibri" w:eastAsia="Microsoft YaHei"/>
                <w:color w:val="1A2B40"/>
                <w:sz w:val="19"/>
                <w:szCs w:val="19"/>
              </w:rPr>
              <w:t xml:space="preserve">Baked into the web bundle to render the widget</w:t>
            </w:r>
          </w:p>
        </w:tc>
      </w:tr>
      <w:tr>
        <w:trPr>
          <w:cantSplit/>
        </w:trPr>
        <w:tc>
          <w:tcPr>
            <w:tcW w:type="dxa" w:w="3000"/>
            <w:shd w:fill="FFFFFF" w:val="clear"/>
            <w:tcMar>
              <w:top w:type="dxa" w:w="60"/>
              <w:left w:type="dxa" w:w="120"/>
              <w:bottom w:type="dxa" w:w="60"/>
              <w:right w:type="dxa" w:w="120"/>
            </w:tcMar>
          </w:tcPr>
          <w:p>
            <w:r>
              <w:rPr>
                <w:rFonts w:ascii="Calibri" w:eastAsia="Microsoft YaHei"/>
                <w:color w:val="1A2B40"/>
                <w:sz w:val="19"/>
                <w:szCs w:val="19"/>
              </w:rPr>
              <w:t xml:space="preserve">MEDIA_DIR / PARTNER_FILES_DIR</w:t>
            </w:r>
          </w:p>
        </w:tc>
        <w:tc>
          <w:tcPr>
            <w:tcW w:type="dxa" w:w="1200"/>
            <w:shd w:fill="FFFFFF" w:val="clear"/>
            <w:tcMar>
              <w:top w:type="dxa" w:w="60"/>
              <w:left w:type="dxa" w:w="120"/>
              <w:bottom w:type="dxa" w:w="60"/>
              <w:right w:type="dxa" w:w="120"/>
            </w:tcMar>
          </w:tcPr>
          <w:p>
            <w:r>
              <w:rPr>
                <w:rFonts w:ascii="Calibri" w:eastAsia="Microsoft YaHei"/>
                <w:color w:val="1A2B40"/>
                <w:sz w:val="19"/>
                <w:szCs w:val="19"/>
              </w:rPr>
              <w:t xml:space="preserve">Yes</w:t>
            </w:r>
          </w:p>
        </w:tc>
        <w:tc>
          <w:tcPr>
            <w:tcW w:type="dxa" w:w="4800"/>
            <w:shd w:fill="FFFFFF" w:val="clear"/>
            <w:tcMar>
              <w:top w:type="dxa" w:w="60"/>
              <w:left w:type="dxa" w:w="120"/>
              <w:bottom w:type="dxa" w:w="60"/>
              <w:right w:type="dxa" w:w="120"/>
            </w:tcMar>
          </w:tcPr>
          <w:p>
            <w:r>
              <w:rPr>
                <w:rFonts w:ascii="Calibri" w:eastAsia="Microsoft YaHei"/>
                <w:color w:val="1A2B40"/>
                <w:sz w:val="19"/>
                <w:szCs w:val="19"/>
              </w:rPr>
              <w:t xml:space="preserve">Upload storage paths</w:t>
            </w:r>
          </w:p>
        </w:tc>
      </w:tr>
      <w:tr>
        <w:trPr>
          <w:cantSplit/>
        </w:trPr>
        <w:tc>
          <w:tcPr>
            <w:tcW w:type="dxa" w:w="3000"/>
            <w:shd w:fill="F4F8FC" w:val="clear"/>
            <w:tcMar>
              <w:top w:type="dxa" w:w="60"/>
              <w:left w:type="dxa" w:w="120"/>
              <w:bottom w:type="dxa" w:w="60"/>
              <w:right w:type="dxa" w:w="120"/>
            </w:tcMar>
          </w:tcPr>
          <w:p>
            <w:r>
              <w:rPr>
                <w:rFonts w:ascii="Calibri" w:eastAsia="Microsoft YaHei"/>
                <w:color w:val="1A2B40"/>
                <w:sz w:val="19"/>
                <w:szCs w:val="19"/>
              </w:rPr>
              <w:t xml:space="preserve">MEDIA_MAX_BYTES / PARTNER_MAX_BYTES</w:t>
            </w:r>
          </w:p>
        </w:tc>
        <w:tc>
          <w:tcPr>
            <w:tcW w:type="dxa" w:w="1200"/>
            <w:shd w:fill="F4F8FC" w:val="clear"/>
            <w:tcMar>
              <w:top w:type="dxa" w:w="60"/>
              <w:left w:type="dxa" w:w="120"/>
              <w:bottom w:type="dxa" w:w="60"/>
              <w:right w:type="dxa" w:w="120"/>
            </w:tcMar>
          </w:tcPr>
          <w:p>
            <w:r>
              <w:rPr>
                <w:rFonts w:ascii="Calibri" w:eastAsia="Microsoft YaHei"/>
                <w:color w:val="1A2B40"/>
                <w:sz w:val="19"/>
                <w:szCs w:val="19"/>
              </w:rPr>
              <w:t xml:space="preserve">No</w:t>
            </w:r>
          </w:p>
        </w:tc>
        <w:tc>
          <w:tcPr>
            <w:tcW w:type="dxa" w:w="4800"/>
            <w:shd w:fill="F4F8FC" w:val="clear"/>
            <w:tcMar>
              <w:top w:type="dxa" w:w="60"/>
              <w:left w:type="dxa" w:w="120"/>
              <w:bottom w:type="dxa" w:w="60"/>
              <w:right w:type="dxa" w:w="120"/>
            </w:tcMar>
          </w:tcPr>
          <w:p>
            <w:r>
              <w:rPr>
                <w:rFonts w:ascii="Calibri" w:eastAsia="Microsoft YaHei"/>
                <w:color w:val="1A2B40"/>
                <w:sz w:val="19"/>
                <w:szCs w:val="19"/>
              </w:rPr>
              <w:t xml:space="preserve">Upload caps (defaults 10 MB / 25 MB)</w:t>
            </w:r>
          </w:p>
        </w:tc>
      </w:tr>
      <w:tr>
        <w:trPr>
          <w:cantSplit/>
        </w:trPr>
        <w:tc>
          <w:tcPr>
            <w:tcW w:type="dxa" w:w="3000"/>
            <w:shd w:fill="FFFFFF" w:val="clear"/>
            <w:tcMar>
              <w:top w:type="dxa" w:w="60"/>
              <w:left w:type="dxa" w:w="120"/>
              <w:bottom w:type="dxa" w:w="60"/>
              <w:right w:type="dxa" w:w="120"/>
            </w:tcMar>
          </w:tcPr>
          <w:p>
            <w:r>
              <w:rPr>
                <w:rFonts w:ascii="Calibri" w:eastAsia="Microsoft YaHei"/>
                <w:color w:val="1A2B40"/>
                <w:sz w:val="19"/>
                <w:szCs w:val="19"/>
              </w:rPr>
              <w:t xml:space="preserve">AUDIT_RETENTION_DAYS</w:t>
            </w:r>
          </w:p>
        </w:tc>
        <w:tc>
          <w:tcPr>
            <w:tcW w:type="dxa" w:w="1200"/>
            <w:shd w:fill="FFFFFF" w:val="clear"/>
            <w:tcMar>
              <w:top w:type="dxa" w:w="60"/>
              <w:left w:type="dxa" w:w="120"/>
              <w:bottom w:type="dxa" w:w="60"/>
              <w:right w:type="dxa" w:w="120"/>
            </w:tcMar>
          </w:tcPr>
          <w:p>
            <w:r>
              <w:rPr>
                <w:rFonts w:ascii="Calibri" w:eastAsia="Microsoft YaHei"/>
                <w:color w:val="1A2B40"/>
                <w:sz w:val="19"/>
                <w:szCs w:val="19"/>
              </w:rPr>
              <w:t xml:space="preserve">No</w:t>
            </w:r>
          </w:p>
        </w:tc>
        <w:tc>
          <w:tcPr>
            <w:tcW w:type="dxa" w:w="4800"/>
            <w:shd w:fill="FFFFFF" w:val="clear"/>
            <w:tcMar>
              <w:top w:type="dxa" w:w="60"/>
              <w:left w:type="dxa" w:w="120"/>
              <w:bottom w:type="dxa" w:w="60"/>
              <w:right w:type="dxa" w:w="120"/>
            </w:tcMar>
          </w:tcPr>
          <w:p>
            <w:r>
              <w:rPr>
                <w:rFonts w:ascii="Calibri" w:eastAsia="Microsoft YaHei"/>
                <w:color w:val="1A2B40"/>
                <w:sz w:val="19"/>
                <w:szCs w:val="19"/>
              </w:rPr>
              <w:t xml:space="preserve">Audit retention (default 365)</w:t>
            </w:r>
          </w:p>
        </w:tc>
      </w:tr>
    </w:tbl>
    <w:p>
      <w:pPr>
        <w:spacing w:after="120"/>
      </w:pPr>
    </w:p>
    <w:tbl>
      <w:tblPr>
        <w:tblW w:type="pct" w:w="5000"/>
        <w:tblBorders>
          <w:top w:val="none" w:color="FFFFFF" w:sz="0"/>
          <w:left w:val="single" w:color="C2453C" w:sz="16"/>
          <w:bottom w:val="none" w:color="FFFFFF" w:sz="0"/>
          <w:right w:val="none" w:color="FFFFFF" w:sz="0"/>
          <w:insideH w:val="single" w:color="auto" w:sz="4"/>
          <w:insideV w:val="single" w:color="auto" w:sz="4"/>
        </w:tblBorders>
        <w:tblLayout w:type="fixed"/>
      </w:tblPr>
      <w:tblGrid>
        <w:gridCol w:w="8788"/>
      </w:tblGrid>
      <w:tr>
        <w:tc>
          <w:tcPr>
            <w:shd w:fill="FDF0EF" w:val="clear"/>
            <w:tcMar>
              <w:top w:type="dxa" w:w="100"/>
              <w:left w:type="dxa" w:w="200"/>
              <w:bottom w:type="dxa" w:w="100"/>
              <w:right w:type="dxa" w:w="160"/>
            </w:tcMar>
          </w:tcPr>
          <w:p>
            <w:pPr>
              <w:spacing w:line="300"/>
            </w:pPr>
            <w:r>
              <w:rPr>
                <w:rFonts w:ascii="Calibri" w:eastAsia="Microsoft YaHei"/>
                <w:b/>
                <w:bCs/>
                <w:color w:val="C2453C"/>
                <w:sz w:val="20"/>
                <w:szCs w:val="20"/>
              </w:rPr>
              <w:t xml:space="preserve">WARNING — </w:t>
            </w:r>
            <w:r>
              <w:rPr>
                <w:rFonts w:ascii="Calibri" w:eastAsia="Microsoft YaHei"/>
                <w:color w:val="1A2B40"/>
                <w:sz w:val="20"/>
                <w:szCs w:val="20"/>
              </w:rPr>
              <w:t xml:space="preserve">Never set API_ALLOW_NO_TURNSTILE=1 or API_DEV_AUTOLOGIN=1 in production. The API hard-refuses them under NODE_ENV=production regardless — keep them unset so misconfiguration is impossible.</w:t>
            </w:r>
          </w:p>
        </w:tc>
      </w:tr>
    </w:tbl>
    <w:p>
      <w:pPr>
        <w:pStyle w:val="Heading2"/>
        <w:spacing w:after="120" w:before="300"/>
      </w:pPr>
      <w:bookmarkStart w:id="100075" w:name="_Toc100075"/>
      <w:r>
        <w:rPr>
          <w:rFonts w:ascii="Calibri" w:eastAsia="SimHei"/>
          <w:b/>
          <w:bCs/>
          <w:color w:val="0A1628"/>
          <w:sz w:val="28"/>
          <w:szCs w:val="28"/>
        </w:rPr>
        <w:t xml:space="preserve">10.2 Appendix B — API Route Map (Public + Auth + Admin)</w:t>
      </w:r>
      <w:bookmarkEnd w:id="100075"/>
    </w:p>
    <w:tbl>
      <w:tblPr>
        <w:tblW w:type="dxa" w:w="9200"/>
        <w:tblBorders>
          <w:top w:val="single" w:color="D5DDE7" w:sz="4"/>
          <w:left w:val="single" w:color="D5DDE7" w:sz="4"/>
          <w:bottom w:val="single" w:color="D5DDE7" w:sz="4"/>
          <w:right w:val="single" w:color="D5DDE7" w:sz="4"/>
          <w:insideH w:val="single" w:color="E6EBF1" w:sz="2"/>
          <w:insideV w:val="single" w:color="E6EBF1" w:sz="2"/>
        </w:tblBorders>
        <w:tblLayout w:type="fixed"/>
      </w:tblPr>
      <w:tblGrid>
        <w:gridCol w:w="2100"/>
        <w:gridCol w:w="6900"/>
      </w:tblGrid>
      <w:tr>
        <w:trPr>
          <w:cantSplit/>
          <w:tblHeader/>
        </w:trPr>
        <w:tc>
          <w:tcPr>
            <w:tcW w:type="dxa" w:w="2100"/>
            <w:shd w:fill="0A1628" w:val="clear"/>
            <w:tcMar>
              <w:top w:type="dxa" w:w="80"/>
              <w:left w:type="dxa" w:w="120"/>
              <w:bottom w:type="dxa" w:w="80"/>
              <w:right w:type="dxa" w:w="120"/>
            </w:tcMar>
            <w:vAlign w:val="center"/>
          </w:tcPr>
          <w:p>
            <w:r>
              <w:rPr>
                <w:rFonts w:ascii="Calibri" w:eastAsia="Microsoft YaHei"/>
                <w:b/>
                <w:bCs/>
                <w:color w:val="FFFFFF"/>
                <w:sz w:val="19"/>
                <w:szCs w:val="19"/>
              </w:rPr>
              <w:t xml:space="preserve">Area</w:t>
            </w:r>
          </w:p>
        </w:tc>
        <w:tc>
          <w:tcPr>
            <w:tcW w:type="dxa" w:w="6900"/>
            <w:shd w:fill="0A1628" w:val="clear"/>
            <w:tcMar>
              <w:top w:type="dxa" w:w="80"/>
              <w:left w:type="dxa" w:w="120"/>
              <w:bottom w:type="dxa" w:w="80"/>
              <w:right w:type="dxa" w:w="120"/>
            </w:tcMar>
            <w:vAlign w:val="center"/>
          </w:tcPr>
          <w:p>
            <w:r>
              <w:rPr>
                <w:rFonts w:ascii="Calibri" w:eastAsia="Microsoft YaHei"/>
                <w:b/>
                <w:bCs/>
                <w:color w:val="FFFFFF"/>
                <w:sz w:val="19"/>
                <w:szCs w:val="19"/>
              </w:rPr>
              <w:t xml:space="preserve">Routes</w:t>
            </w:r>
          </w:p>
        </w:tc>
      </w:tr>
      <w:tr>
        <w:trPr>
          <w:cantSplit/>
        </w:trPr>
        <w:tc>
          <w:tcPr>
            <w:tcW w:type="dxa" w:w="2100"/>
            <w:shd w:fill="FFFFFF" w:val="clear"/>
            <w:tcMar>
              <w:top w:type="dxa" w:w="60"/>
              <w:left w:type="dxa" w:w="120"/>
              <w:bottom w:type="dxa" w:w="60"/>
              <w:right w:type="dxa" w:w="120"/>
            </w:tcMar>
          </w:tcPr>
          <w:p>
            <w:r>
              <w:rPr>
                <w:rFonts w:ascii="Calibri" w:eastAsia="Microsoft YaHei"/>
                <w:color w:val="1A2B40"/>
                <w:sz w:val="19"/>
                <w:szCs w:val="19"/>
              </w:rPr>
              <w:t xml:space="preserve">Public</w:t>
            </w:r>
          </w:p>
        </w:tc>
        <w:tc>
          <w:tcPr>
            <w:tcW w:type="dxa" w:w="6900"/>
            <w:shd w:fill="FFFFFF" w:val="clear"/>
            <w:tcMar>
              <w:top w:type="dxa" w:w="60"/>
              <w:left w:type="dxa" w:w="120"/>
              <w:bottom w:type="dxa" w:w="60"/>
              <w:right w:type="dxa" w:w="120"/>
            </w:tcMar>
          </w:tcPr>
          <w:p>
            <w:r>
              <w:rPr>
                <w:rFonts w:ascii="Calibri" w:eastAsia="Microsoft YaHei"/>
                <w:color w:val="1A2B40"/>
                <w:sz w:val="19"/>
                <w:szCs w:val="19"/>
              </w:rPr>
              <w:t xml:space="preserve">POST /forms/:type (15 types) · GET /rma/:number · POST /sn-check · GET /i18n/:locale · GET /preview/:token · GET /media/:id/file (images) · GET /health</w:t>
            </w:r>
          </w:p>
        </w:tc>
      </w:tr>
      <w:tr>
        <w:trPr>
          <w:cantSplit/>
        </w:trPr>
        <w:tc>
          <w:tcPr>
            <w:tcW w:type="dxa" w:w="2100"/>
            <w:shd w:fill="F4F8FC" w:val="clear"/>
            <w:tcMar>
              <w:top w:type="dxa" w:w="60"/>
              <w:left w:type="dxa" w:w="120"/>
              <w:bottom w:type="dxa" w:w="60"/>
              <w:right w:type="dxa" w:w="120"/>
            </w:tcMar>
          </w:tcPr>
          <w:p>
            <w:r>
              <w:rPr>
                <w:rFonts w:ascii="Calibri" w:eastAsia="Microsoft YaHei"/>
                <w:color w:val="1A2B40"/>
                <w:sz w:val="19"/>
                <w:szCs w:val="19"/>
              </w:rPr>
              <w:t xml:space="preserve">Auth</w:t>
            </w:r>
          </w:p>
        </w:tc>
        <w:tc>
          <w:tcPr>
            <w:tcW w:type="dxa" w:w="6900"/>
            <w:shd w:fill="F4F8FC" w:val="clear"/>
            <w:tcMar>
              <w:top w:type="dxa" w:w="60"/>
              <w:left w:type="dxa" w:w="120"/>
              <w:bottom w:type="dxa" w:w="60"/>
              <w:right w:type="dxa" w:w="120"/>
            </w:tcMar>
          </w:tcPr>
          <w:p>
            <w:r>
              <w:rPr>
                <w:rFonts w:ascii="Calibri" w:eastAsia="Microsoft YaHei"/>
                <w:color w:val="1A2B40"/>
                <w:sz w:val="19"/>
                <w:szCs w:val="19"/>
              </w:rPr>
              <w:t xml:space="preserve">POST /auth/sign-in/email · /auth/sign-out · two-factor verify · GET /auth/get-session (Better Auth mount)</w:t>
            </w:r>
          </w:p>
        </w:tc>
      </w:tr>
      <w:tr>
        <w:trPr>
          <w:cantSplit/>
        </w:trPr>
        <w:tc>
          <w:tcPr>
            <w:tcW w:type="dxa" w:w="2100"/>
            <w:shd w:fill="FFFFFF" w:val="clear"/>
            <w:tcMar>
              <w:top w:type="dxa" w:w="60"/>
              <w:left w:type="dxa" w:w="120"/>
              <w:bottom w:type="dxa" w:w="60"/>
              <w:right w:type="dxa" w:w="120"/>
            </w:tcMar>
          </w:tcPr>
          <w:p>
            <w:r>
              <w:rPr>
                <w:rFonts w:ascii="Calibri" w:eastAsia="Microsoft YaHei"/>
                <w:color w:val="1A2B40"/>
                <w:sz w:val="19"/>
                <w:szCs w:val="19"/>
              </w:rPr>
              <w:t xml:space="preserve">Partner portal</w:t>
            </w:r>
          </w:p>
        </w:tc>
        <w:tc>
          <w:tcPr>
            <w:tcW w:type="dxa" w:w="6900"/>
            <w:shd w:fill="FFFFFF" w:val="clear"/>
            <w:tcMar>
              <w:top w:type="dxa" w:w="60"/>
              <w:left w:type="dxa" w:w="120"/>
              <w:bottom w:type="dxa" w:w="60"/>
              <w:right w:type="dxa" w:w="120"/>
            </w:tcMar>
          </w:tcPr>
          <w:p>
            <w:r>
              <w:rPr>
                <w:rFonts w:ascii="Calibri" w:eastAsia="Microsoft YaHei"/>
                <w:color w:val="1A2B40"/>
                <w:sz w:val="19"/>
                <w:szCs w:val="19"/>
              </w:rPr>
              <w:t xml:space="preserve">GET /partner/me · GET /partner/assets · GET /partner/assets/:id/download (member-gated)</w:t>
            </w:r>
          </w:p>
        </w:tc>
      </w:tr>
      <w:tr>
        <w:trPr>
          <w:cantSplit/>
        </w:trPr>
        <w:tc>
          <w:tcPr>
            <w:tcW w:type="dxa" w:w="2100"/>
            <w:shd w:fill="F4F8FC" w:val="clear"/>
            <w:tcMar>
              <w:top w:type="dxa" w:w="60"/>
              <w:left w:type="dxa" w:w="120"/>
              <w:bottom w:type="dxa" w:w="60"/>
              <w:right w:type="dxa" w:w="120"/>
            </w:tcMar>
          </w:tcPr>
          <w:p>
            <w:r>
              <w:rPr>
                <w:rFonts w:ascii="Calibri" w:eastAsia="Microsoft YaHei"/>
                <w:color w:val="1A2B40"/>
                <w:sz w:val="19"/>
                <w:szCs w:val="19"/>
              </w:rPr>
              <w:t xml:space="preserve">Admin content</w:t>
            </w:r>
          </w:p>
        </w:tc>
        <w:tc>
          <w:tcPr>
            <w:tcW w:type="dxa" w:w="6900"/>
            <w:shd w:fill="F4F8FC" w:val="clear"/>
            <w:tcMar>
              <w:top w:type="dxa" w:w="60"/>
              <w:left w:type="dxa" w:w="120"/>
              <w:bottom w:type="dxa" w:w="60"/>
              <w:right w:type="dxa" w:w="120"/>
            </w:tcMar>
          </w:tcPr>
          <w:p>
            <w:r>
              <w:rPr>
                <w:rFonts w:ascii="Calibri" w:eastAsia="Microsoft YaHei"/>
                <w:color w:val="1A2B40"/>
                <w:sz w:val="19"/>
                <w:szCs w:val="19"/>
              </w:rPr>
              <w:t xml:space="preserve">CRUD /admin/content/:entity · transitions · revisions · comments · preview tokens</w:t>
            </w:r>
          </w:p>
        </w:tc>
      </w:tr>
      <w:tr>
        <w:trPr>
          <w:cantSplit/>
        </w:trPr>
        <w:tc>
          <w:tcPr>
            <w:tcW w:type="dxa" w:w="2100"/>
            <w:shd w:fill="FFFFFF" w:val="clear"/>
            <w:tcMar>
              <w:top w:type="dxa" w:w="60"/>
              <w:left w:type="dxa" w:w="120"/>
              <w:bottom w:type="dxa" w:w="60"/>
              <w:right w:type="dxa" w:w="120"/>
            </w:tcMar>
          </w:tcPr>
          <w:p>
            <w:r>
              <w:rPr>
                <w:rFonts w:ascii="Calibri" w:eastAsia="Microsoft YaHei"/>
                <w:color w:val="1A2B40"/>
                <w:sz w:val="19"/>
                <w:szCs w:val="19"/>
              </w:rPr>
              <w:t xml:space="preserve">Admin catalog</w:t>
            </w:r>
          </w:p>
        </w:tc>
        <w:tc>
          <w:tcPr>
            <w:tcW w:type="dxa" w:w="6900"/>
            <w:shd w:fill="FFFFFF" w:val="clear"/>
            <w:tcMar>
              <w:top w:type="dxa" w:w="60"/>
              <w:left w:type="dxa" w:w="120"/>
              <w:bottom w:type="dxa" w:w="60"/>
              <w:right w:type="dxa" w:w="120"/>
            </w:tcMar>
          </w:tcPr>
          <w:p>
            <w:r>
              <w:rPr>
                <w:rFonts w:ascii="Calibri" w:eastAsia="Microsoft YaHei"/>
                <w:color w:val="1A2B40"/>
                <w:sz w:val="19"/>
                <w:szCs w:val="19"/>
              </w:rPr>
              <w:t xml:space="preserve">CRUD /admin/products (+variants, import/export CSV) · /admin/compatibility (+import) · /admin/taxonomy</w:t>
            </w:r>
          </w:p>
        </w:tc>
      </w:tr>
      <w:tr>
        <w:trPr>
          <w:cantSplit/>
        </w:trPr>
        <w:tc>
          <w:tcPr>
            <w:tcW w:type="dxa" w:w="2100"/>
            <w:shd w:fill="F4F8FC" w:val="clear"/>
            <w:tcMar>
              <w:top w:type="dxa" w:w="60"/>
              <w:left w:type="dxa" w:w="120"/>
              <w:bottom w:type="dxa" w:w="60"/>
              <w:right w:type="dxa" w:w="120"/>
            </w:tcMar>
          </w:tcPr>
          <w:p>
            <w:r>
              <w:rPr>
                <w:rFonts w:ascii="Calibri" w:eastAsia="Microsoft YaHei"/>
                <w:color w:val="1A2B40"/>
                <w:sz w:val="19"/>
                <w:szCs w:val="19"/>
              </w:rPr>
              <w:t xml:space="preserve">Admin support</w:t>
            </w:r>
          </w:p>
        </w:tc>
        <w:tc>
          <w:tcPr>
            <w:tcW w:type="dxa" w:w="6900"/>
            <w:shd w:fill="F4F8FC" w:val="clear"/>
            <w:tcMar>
              <w:top w:type="dxa" w:w="60"/>
              <w:left w:type="dxa" w:w="120"/>
              <w:bottom w:type="dxa" w:w="60"/>
              <w:right w:type="dxa" w:w="120"/>
            </w:tcMar>
          </w:tcPr>
          <w:p>
            <w:r>
              <w:rPr>
                <w:rFonts w:ascii="Calibri" w:eastAsia="Microsoft YaHei"/>
                <w:color w:val="1A2B40"/>
                <w:sz w:val="19"/>
                <w:szCs w:val="19"/>
              </w:rPr>
              <w:t xml:space="preserve">/admin/submissions (+reply, notes, CSV) · /admin/rma (+transition, assign, reply, serial-check)</w:t>
            </w:r>
          </w:p>
        </w:tc>
      </w:tr>
      <w:tr>
        <w:trPr>
          <w:cantSplit/>
        </w:trPr>
        <w:tc>
          <w:tcPr>
            <w:tcW w:type="dxa" w:w="2100"/>
            <w:shd w:fill="FFFFFF" w:val="clear"/>
            <w:tcMar>
              <w:top w:type="dxa" w:w="60"/>
              <w:left w:type="dxa" w:w="120"/>
              <w:bottom w:type="dxa" w:w="60"/>
              <w:right w:type="dxa" w:w="120"/>
            </w:tcMar>
          </w:tcPr>
          <w:p>
            <w:r>
              <w:rPr>
                <w:rFonts w:ascii="Calibri" w:eastAsia="Microsoft YaHei"/>
                <w:color w:val="1A2B40"/>
                <w:sz w:val="19"/>
                <w:szCs w:val="19"/>
              </w:rPr>
              <w:t xml:space="preserve">Admin channel</w:t>
            </w:r>
          </w:p>
        </w:tc>
        <w:tc>
          <w:tcPr>
            <w:tcW w:type="dxa" w:w="6900"/>
            <w:shd w:fill="FFFFFF" w:val="clear"/>
            <w:tcMar>
              <w:top w:type="dxa" w:w="60"/>
              <w:left w:type="dxa" w:w="120"/>
              <w:bottom w:type="dxa" w:w="60"/>
              <w:right w:type="dxa" w:w="120"/>
            </w:tcMar>
          </w:tcPr>
          <w:p>
            <w:r>
              <w:rPr>
                <w:rFonts w:ascii="Calibri" w:eastAsia="Microsoft YaHei"/>
                <w:color w:val="1A2B40"/>
                <w:sz w:val="19"/>
                <w:szCs w:val="19"/>
              </w:rPr>
              <w:t xml:space="preserve">/admin/partner-orgs (+members, assets, delete) · /admin/distributors (+import, export) · /admin/marketplace-listings</w:t>
            </w:r>
          </w:p>
        </w:tc>
      </w:tr>
      <w:tr>
        <w:trPr>
          <w:cantSplit/>
        </w:trPr>
        <w:tc>
          <w:tcPr>
            <w:tcW w:type="dxa" w:w="2100"/>
            <w:shd w:fill="F4F8FC" w:val="clear"/>
            <w:tcMar>
              <w:top w:type="dxa" w:w="60"/>
              <w:left w:type="dxa" w:w="120"/>
              <w:bottom w:type="dxa" w:w="60"/>
              <w:right w:type="dxa" w:w="120"/>
            </w:tcMar>
          </w:tcPr>
          <w:p>
            <w:r>
              <w:rPr>
                <w:rFonts w:ascii="Calibri" w:eastAsia="Microsoft YaHei"/>
                <w:color w:val="1A2B40"/>
                <w:sz w:val="19"/>
                <w:szCs w:val="19"/>
              </w:rPr>
              <w:t xml:space="preserve">Admin brand protection</w:t>
            </w:r>
          </w:p>
        </w:tc>
        <w:tc>
          <w:tcPr>
            <w:tcW w:type="dxa" w:w="6900"/>
            <w:shd w:fill="F4F8FC" w:val="clear"/>
            <w:tcMar>
              <w:top w:type="dxa" w:w="60"/>
              <w:left w:type="dxa" w:w="120"/>
              <w:bottom w:type="dxa" w:w="60"/>
              <w:right w:type="dxa" w:w="120"/>
            </w:tcMar>
          </w:tcPr>
          <w:p>
            <w:r>
              <w:rPr>
                <w:rFonts w:ascii="Calibri" w:eastAsia="Microsoft YaHei"/>
                <w:color w:val="1A2B40"/>
                <w:sz w:val="19"/>
                <w:szCs w:val="19"/>
              </w:rPr>
              <w:t xml:space="preserve">/admin/serials (+analytics, :serial drill-down/delete, import, export, anomalies) · /admin/sn-checks</w:t>
            </w:r>
          </w:p>
        </w:tc>
      </w:tr>
      <w:tr>
        <w:trPr>
          <w:cantSplit/>
        </w:trPr>
        <w:tc>
          <w:tcPr>
            <w:tcW w:type="dxa" w:w="2100"/>
            <w:shd w:fill="FFFFFF" w:val="clear"/>
            <w:tcMar>
              <w:top w:type="dxa" w:w="60"/>
              <w:left w:type="dxa" w:w="120"/>
              <w:bottom w:type="dxa" w:w="60"/>
              <w:right w:type="dxa" w:w="120"/>
            </w:tcMar>
          </w:tcPr>
          <w:p>
            <w:r>
              <w:rPr>
                <w:rFonts w:ascii="Calibri" w:eastAsia="Microsoft YaHei"/>
                <w:color w:val="1A2B40"/>
                <w:sz w:val="19"/>
                <w:szCs w:val="19"/>
              </w:rPr>
              <w:t xml:space="preserve">Admin careers</w:t>
            </w:r>
          </w:p>
        </w:tc>
        <w:tc>
          <w:tcPr>
            <w:tcW w:type="dxa" w:w="6900"/>
            <w:shd w:fill="FFFFFF" w:val="clear"/>
            <w:tcMar>
              <w:top w:type="dxa" w:w="60"/>
              <w:left w:type="dxa" w:w="120"/>
              <w:bottom w:type="dxa" w:w="60"/>
              <w:right w:type="dxa" w:w="120"/>
            </w:tcMar>
          </w:tcPr>
          <w:p>
            <w:r>
              <w:rPr>
                <w:rFonts w:ascii="Calibri" w:eastAsia="Microsoft YaHei"/>
                <w:color w:val="1A2B40"/>
                <w:sz w:val="19"/>
                <w:szCs w:val="19"/>
              </w:rPr>
              <w:t xml:space="preserve">/admin/job-postings · /admin/job-applications (+reply) · /admin/job-analytics</w:t>
            </w:r>
          </w:p>
        </w:tc>
      </w:tr>
      <w:tr>
        <w:trPr>
          <w:cantSplit/>
        </w:trPr>
        <w:tc>
          <w:tcPr>
            <w:tcW w:type="dxa" w:w="2100"/>
            <w:shd w:fill="F4F8FC" w:val="clear"/>
            <w:tcMar>
              <w:top w:type="dxa" w:w="60"/>
              <w:left w:type="dxa" w:w="120"/>
              <w:bottom w:type="dxa" w:w="60"/>
              <w:right w:type="dxa" w:w="120"/>
            </w:tcMar>
          </w:tcPr>
          <w:p>
            <w:r>
              <w:rPr>
                <w:rFonts w:ascii="Calibri" w:eastAsia="Microsoft YaHei"/>
                <w:color w:val="1A2B40"/>
                <w:sz w:val="19"/>
                <w:szCs w:val="19"/>
              </w:rPr>
              <w:t xml:space="preserve">Admin media</w:t>
            </w:r>
          </w:p>
        </w:tc>
        <w:tc>
          <w:tcPr>
            <w:tcW w:type="dxa" w:w="6900"/>
            <w:shd w:fill="F4F8FC" w:val="clear"/>
            <w:tcMar>
              <w:top w:type="dxa" w:w="60"/>
              <w:left w:type="dxa" w:w="120"/>
              <w:bottom w:type="dxa" w:w="60"/>
              <w:right w:type="dxa" w:w="120"/>
            </w:tcMar>
          </w:tcPr>
          <w:p>
            <w:r>
              <w:rPr>
                <w:rFonts w:ascii="Calibri" w:eastAsia="Microsoft YaHei"/>
                <w:color w:val="1A2B40"/>
                <w:sz w:val="19"/>
                <w:szCs w:val="19"/>
              </w:rPr>
              <w:t xml:space="preserve">/admin/media (+analytics, :id/usage, variants) · /admin/media-folders</w:t>
            </w:r>
          </w:p>
        </w:tc>
      </w:tr>
      <w:tr>
        <w:trPr>
          <w:cantSplit/>
        </w:trPr>
        <w:tc>
          <w:tcPr>
            <w:tcW w:type="dxa" w:w="2100"/>
            <w:shd w:fill="FFFFFF" w:val="clear"/>
            <w:tcMar>
              <w:top w:type="dxa" w:w="60"/>
              <w:left w:type="dxa" w:w="120"/>
              <w:bottom w:type="dxa" w:w="60"/>
              <w:right w:type="dxa" w:w="120"/>
            </w:tcMar>
          </w:tcPr>
          <w:p>
            <w:r>
              <w:rPr>
                <w:rFonts w:ascii="Calibri" w:eastAsia="Microsoft YaHei"/>
                <w:color w:val="1A2B40"/>
                <w:sz w:val="19"/>
                <w:szCs w:val="19"/>
              </w:rPr>
              <w:t xml:space="preserve">Admin governance</w:t>
            </w:r>
          </w:p>
        </w:tc>
        <w:tc>
          <w:tcPr>
            <w:tcW w:type="dxa" w:w="6900"/>
            <w:shd w:fill="FFFFFF" w:val="clear"/>
            <w:tcMar>
              <w:top w:type="dxa" w:w="60"/>
              <w:left w:type="dxa" w:w="120"/>
              <w:bottom w:type="dxa" w:w="60"/>
              <w:right w:type="dxa" w:w="120"/>
            </w:tcMar>
          </w:tcPr>
          <w:p>
            <w:r>
              <w:rPr>
                <w:rFonts w:ascii="Calibri" w:eastAsia="Microsoft YaHei"/>
                <w:color w:val="1A2B40"/>
                <w:sz w:val="19"/>
                <w:szCs w:val="19"/>
              </w:rPr>
              <w:t xml:space="preserve">/admin/users (+invite, role, ban, revoke-sessions, :id/activity, analytics) · /admin/audit · /admin/settings · /admin/redirects · /admin/locales · /admin/analytics/* · /admin/staff-options</w:t>
            </w:r>
          </w:p>
        </w:tc>
      </w:tr>
    </w:tbl>
    <w:p>
      <w:pPr>
        <w:spacing w:after="120"/>
      </w:pPr>
    </w:p>
    <w:p>
      <w:pPr>
        <w:pStyle w:val="Heading2"/>
        <w:spacing w:after="120" w:before="300"/>
      </w:pPr>
      <w:bookmarkStart w:id="100076" w:name="_Toc100076"/>
      <w:r>
        <w:rPr>
          <w:rFonts w:ascii="Calibri" w:eastAsia="SimHei"/>
          <w:b/>
          <w:bCs/>
          <w:color w:val="0A1628"/>
          <w:sz w:val="28"/>
          <w:szCs w:val="28"/>
        </w:rPr>
        <w:t xml:space="preserve">10.3 Appendix C — Role Permission Matrix</w:t>
      </w:r>
      <w:bookmarkEnd w:id="100076"/>
    </w:p>
    <w:tbl>
      <w:tblPr>
        <w:tblW w:type="dxa" w:w="9200"/>
        <w:tblBorders>
          <w:top w:val="single" w:color="D5DDE7" w:sz="4"/>
          <w:left w:val="single" w:color="D5DDE7" w:sz="4"/>
          <w:bottom w:val="single" w:color="D5DDE7" w:sz="4"/>
          <w:right w:val="single" w:color="D5DDE7" w:sz="4"/>
          <w:insideH w:val="single" w:color="E6EBF1" w:sz="2"/>
          <w:insideV w:val="single" w:color="E6EBF1" w:sz="2"/>
        </w:tblBorders>
        <w:tblLayout w:type="fixed"/>
      </w:tblPr>
      <w:tblGrid>
        <w:gridCol w:w="3300"/>
        <w:gridCol w:w="1150"/>
        <w:gridCol w:w="1150"/>
        <w:gridCol w:w="1150"/>
        <w:gridCol w:w="1150"/>
        <w:gridCol w:w="1300"/>
      </w:tblGrid>
      <w:tr>
        <w:trPr>
          <w:cantSplit/>
          <w:tblHeader/>
        </w:trPr>
        <w:tc>
          <w:tcPr>
            <w:tcW w:type="dxa" w:w="3300"/>
            <w:shd w:fill="0A1628" w:val="clear"/>
            <w:tcMar>
              <w:top w:type="dxa" w:w="80"/>
              <w:left w:type="dxa" w:w="120"/>
              <w:bottom w:type="dxa" w:w="80"/>
              <w:right w:type="dxa" w:w="120"/>
            </w:tcMar>
            <w:vAlign w:val="center"/>
          </w:tcPr>
          <w:p>
            <w:r>
              <w:rPr>
                <w:rFonts w:ascii="Calibri" w:eastAsia="Microsoft YaHei"/>
                <w:b/>
                <w:bCs/>
                <w:color w:val="FFFFFF"/>
                <w:sz w:val="19"/>
                <w:szCs w:val="19"/>
              </w:rPr>
              <w:t xml:space="preserve">Capability</w:t>
            </w:r>
          </w:p>
        </w:tc>
        <w:tc>
          <w:tcPr>
            <w:tcW w:type="dxa" w:w="1150"/>
            <w:shd w:fill="0A1628" w:val="clear"/>
            <w:tcMar>
              <w:top w:type="dxa" w:w="80"/>
              <w:left w:type="dxa" w:w="120"/>
              <w:bottom w:type="dxa" w:w="80"/>
              <w:right w:type="dxa" w:w="120"/>
            </w:tcMar>
            <w:vAlign w:val="center"/>
          </w:tcPr>
          <w:p>
            <w:r>
              <w:rPr>
                <w:rFonts w:ascii="Calibri" w:eastAsia="Microsoft YaHei"/>
                <w:b/>
                <w:bCs/>
                <w:color w:val="FFFFFF"/>
                <w:sz w:val="19"/>
                <w:szCs w:val="19"/>
              </w:rPr>
              <w:t xml:space="preserve">Viewer</w:t>
            </w:r>
          </w:p>
        </w:tc>
        <w:tc>
          <w:tcPr>
            <w:tcW w:type="dxa" w:w="1150"/>
            <w:shd w:fill="0A1628" w:val="clear"/>
            <w:tcMar>
              <w:top w:type="dxa" w:w="80"/>
              <w:left w:type="dxa" w:w="120"/>
              <w:bottom w:type="dxa" w:w="80"/>
              <w:right w:type="dxa" w:w="120"/>
            </w:tcMar>
            <w:vAlign w:val="center"/>
          </w:tcPr>
          <w:p>
            <w:r>
              <w:rPr>
                <w:rFonts w:ascii="Calibri" w:eastAsia="Microsoft YaHei"/>
                <w:b/>
                <w:bCs/>
                <w:color w:val="FFFFFF"/>
                <w:sz w:val="19"/>
                <w:szCs w:val="19"/>
              </w:rPr>
              <w:t xml:space="preserve">Author</w:t>
            </w:r>
          </w:p>
        </w:tc>
        <w:tc>
          <w:tcPr>
            <w:tcW w:type="dxa" w:w="1150"/>
            <w:shd w:fill="0A1628" w:val="clear"/>
            <w:tcMar>
              <w:top w:type="dxa" w:w="80"/>
              <w:left w:type="dxa" w:w="120"/>
              <w:bottom w:type="dxa" w:w="80"/>
              <w:right w:type="dxa" w:w="120"/>
            </w:tcMar>
            <w:vAlign w:val="center"/>
          </w:tcPr>
          <w:p>
            <w:r>
              <w:rPr>
                <w:rFonts w:ascii="Calibri" w:eastAsia="Microsoft YaHei"/>
                <w:b/>
                <w:bCs/>
                <w:color w:val="FFFFFF"/>
                <w:sz w:val="19"/>
                <w:szCs w:val="19"/>
              </w:rPr>
              <w:t xml:space="preserve">Editor</w:t>
            </w:r>
          </w:p>
        </w:tc>
        <w:tc>
          <w:tcPr>
            <w:tcW w:type="dxa" w:w="1150"/>
            <w:shd w:fill="0A1628" w:val="clear"/>
            <w:tcMar>
              <w:top w:type="dxa" w:w="80"/>
              <w:left w:type="dxa" w:w="120"/>
              <w:bottom w:type="dxa" w:w="80"/>
              <w:right w:type="dxa" w:w="120"/>
            </w:tcMar>
            <w:vAlign w:val="center"/>
          </w:tcPr>
          <w:p>
            <w:r>
              <w:rPr>
                <w:rFonts w:ascii="Calibri" w:eastAsia="Microsoft YaHei"/>
                <w:b/>
                <w:bCs/>
                <w:color w:val="FFFFFF"/>
                <w:sz w:val="19"/>
                <w:szCs w:val="19"/>
              </w:rPr>
              <w:t xml:space="preserve">Admin</w:t>
            </w:r>
          </w:p>
        </w:tc>
        <w:tc>
          <w:tcPr>
            <w:tcW w:type="dxa" w:w="1300"/>
            <w:shd w:fill="0A1628" w:val="clear"/>
            <w:tcMar>
              <w:top w:type="dxa" w:w="80"/>
              <w:left w:type="dxa" w:w="120"/>
              <w:bottom w:type="dxa" w:w="80"/>
              <w:right w:type="dxa" w:w="120"/>
            </w:tcMar>
            <w:vAlign w:val="center"/>
          </w:tcPr>
          <w:p>
            <w:r>
              <w:rPr>
                <w:rFonts w:ascii="Calibri" w:eastAsia="Microsoft YaHei"/>
                <w:b/>
                <w:bCs/>
                <w:color w:val="FFFFFF"/>
                <w:sz w:val="19"/>
                <w:szCs w:val="19"/>
              </w:rPr>
              <w:t xml:space="preserve">Super Admin</w:t>
            </w:r>
          </w:p>
        </w:tc>
      </w:tr>
      <w:tr>
        <w:trPr>
          <w:cantSplit/>
        </w:trPr>
        <w:tc>
          <w:tcPr>
            <w:tcW w:type="dxa" w:w="3300"/>
            <w:shd w:fill="FFFFFF" w:val="clear"/>
            <w:tcMar>
              <w:top w:type="dxa" w:w="60"/>
              <w:left w:type="dxa" w:w="120"/>
              <w:bottom w:type="dxa" w:w="60"/>
              <w:right w:type="dxa" w:w="120"/>
            </w:tcMar>
          </w:tcPr>
          <w:p>
            <w:r>
              <w:rPr>
                <w:rFonts w:ascii="Calibri" w:eastAsia="Microsoft YaHei"/>
                <w:color w:val="1A2B40"/>
                <w:sz w:val="19"/>
                <w:szCs w:val="19"/>
              </w:rPr>
              <w:t xml:space="preserve">Read all modules</w:t>
            </w:r>
          </w:p>
        </w:tc>
        <w:tc>
          <w:tcPr>
            <w:tcW w:type="dxa" w:w="1150"/>
            <w:shd w:fill="FFFFFF" w:val="clear"/>
            <w:tcMar>
              <w:top w:type="dxa" w:w="60"/>
              <w:left w:type="dxa" w:w="120"/>
              <w:bottom w:type="dxa" w:w="60"/>
              <w:right w:type="dxa" w:w="120"/>
            </w:tcMar>
          </w:tcPr>
          <w:p>
            <w:r>
              <w:rPr>
                <w:rFonts w:ascii="Calibri" w:eastAsia="Microsoft YaHei"/>
                <w:color w:val="1A2B40"/>
                <w:sz w:val="19"/>
                <w:szCs w:val="19"/>
              </w:rPr>
              <w:t xml:space="preserve">✓</w:t>
            </w:r>
          </w:p>
        </w:tc>
        <w:tc>
          <w:tcPr>
            <w:tcW w:type="dxa" w:w="1150"/>
            <w:shd w:fill="FFFFFF" w:val="clear"/>
            <w:tcMar>
              <w:top w:type="dxa" w:w="60"/>
              <w:left w:type="dxa" w:w="120"/>
              <w:bottom w:type="dxa" w:w="60"/>
              <w:right w:type="dxa" w:w="120"/>
            </w:tcMar>
          </w:tcPr>
          <w:p>
            <w:r>
              <w:rPr>
                <w:rFonts w:ascii="Calibri" w:eastAsia="Microsoft YaHei"/>
                <w:color w:val="1A2B40"/>
                <w:sz w:val="19"/>
                <w:szCs w:val="19"/>
              </w:rPr>
              <w:t xml:space="preserve">✓</w:t>
            </w:r>
          </w:p>
        </w:tc>
        <w:tc>
          <w:tcPr>
            <w:tcW w:type="dxa" w:w="1150"/>
            <w:shd w:fill="FFFFFF" w:val="clear"/>
            <w:tcMar>
              <w:top w:type="dxa" w:w="60"/>
              <w:left w:type="dxa" w:w="120"/>
              <w:bottom w:type="dxa" w:w="60"/>
              <w:right w:type="dxa" w:w="120"/>
            </w:tcMar>
          </w:tcPr>
          <w:p>
            <w:r>
              <w:rPr>
                <w:rFonts w:ascii="Calibri" w:eastAsia="Microsoft YaHei"/>
                <w:color w:val="1A2B40"/>
                <w:sz w:val="19"/>
                <w:szCs w:val="19"/>
              </w:rPr>
              <w:t xml:space="preserve">✓</w:t>
            </w:r>
          </w:p>
        </w:tc>
        <w:tc>
          <w:tcPr>
            <w:tcW w:type="dxa" w:w="1150"/>
            <w:shd w:fill="FFFFFF" w:val="clear"/>
            <w:tcMar>
              <w:top w:type="dxa" w:w="60"/>
              <w:left w:type="dxa" w:w="120"/>
              <w:bottom w:type="dxa" w:w="60"/>
              <w:right w:type="dxa" w:w="120"/>
            </w:tcMar>
          </w:tcPr>
          <w:p>
            <w:r>
              <w:rPr>
                <w:rFonts w:ascii="Calibri" w:eastAsia="Microsoft YaHei"/>
                <w:color w:val="1A2B40"/>
                <w:sz w:val="19"/>
                <w:szCs w:val="19"/>
              </w:rPr>
              <w:t xml:space="preserve">✓</w:t>
            </w:r>
          </w:p>
        </w:tc>
        <w:tc>
          <w:tcPr>
            <w:tcW w:type="dxa" w:w="1300"/>
            <w:shd w:fill="FFFFFF" w:val="clear"/>
            <w:tcMar>
              <w:top w:type="dxa" w:w="60"/>
              <w:left w:type="dxa" w:w="120"/>
              <w:bottom w:type="dxa" w:w="60"/>
              <w:right w:type="dxa" w:w="120"/>
            </w:tcMar>
          </w:tcPr>
          <w:p>
            <w:r>
              <w:rPr>
                <w:rFonts w:ascii="Calibri" w:eastAsia="Microsoft YaHei"/>
                <w:color w:val="1A2B40"/>
                <w:sz w:val="19"/>
                <w:szCs w:val="19"/>
              </w:rPr>
              <w:t xml:space="preserve">✓</w:t>
            </w:r>
          </w:p>
        </w:tc>
      </w:tr>
      <w:tr>
        <w:trPr>
          <w:cantSplit/>
        </w:trPr>
        <w:tc>
          <w:tcPr>
            <w:tcW w:type="dxa" w:w="3300"/>
            <w:shd w:fill="F4F8FC" w:val="clear"/>
            <w:tcMar>
              <w:top w:type="dxa" w:w="60"/>
              <w:left w:type="dxa" w:w="120"/>
              <w:bottom w:type="dxa" w:w="60"/>
              <w:right w:type="dxa" w:w="120"/>
            </w:tcMar>
          </w:tcPr>
          <w:p>
            <w:r>
              <w:rPr>
                <w:rFonts w:ascii="Calibri" w:eastAsia="Microsoft YaHei"/>
                <w:color w:val="1A2B40"/>
                <w:sz w:val="19"/>
                <w:szCs w:val="19"/>
              </w:rPr>
              <w:t xml:space="preserve">Write content drafts</w:t>
            </w:r>
          </w:p>
        </w:tc>
        <w:tc>
          <w:tcPr>
            <w:tcW w:type="dxa" w:w="1150"/>
            <w:shd w:fill="F4F8FC" w:val="clear"/>
            <w:tcMar>
              <w:top w:type="dxa" w:w="60"/>
              <w:left w:type="dxa" w:w="120"/>
              <w:bottom w:type="dxa" w:w="60"/>
              <w:right w:type="dxa" w:w="120"/>
            </w:tcMar>
          </w:tcPr>
          <w:p>
            <w:r>
              <w:rPr>
                <w:rFonts w:ascii="Calibri" w:eastAsia="Microsoft YaHei"/>
                <w:color w:val="1A2B40"/>
                <w:sz w:val="19"/>
                <w:szCs w:val="19"/>
              </w:rPr>
              <w:t xml:space="preserve">—</w:t>
            </w:r>
          </w:p>
        </w:tc>
        <w:tc>
          <w:tcPr>
            <w:tcW w:type="dxa" w:w="1150"/>
            <w:shd w:fill="F4F8FC" w:val="clear"/>
            <w:tcMar>
              <w:top w:type="dxa" w:w="60"/>
              <w:left w:type="dxa" w:w="120"/>
              <w:bottom w:type="dxa" w:w="60"/>
              <w:right w:type="dxa" w:w="120"/>
            </w:tcMar>
          </w:tcPr>
          <w:p>
            <w:r>
              <w:rPr>
                <w:rFonts w:ascii="Calibri" w:eastAsia="Microsoft YaHei"/>
                <w:color w:val="1A2B40"/>
                <w:sz w:val="19"/>
                <w:szCs w:val="19"/>
              </w:rPr>
              <w:t xml:space="preserve">✓</w:t>
            </w:r>
          </w:p>
        </w:tc>
        <w:tc>
          <w:tcPr>
            <w:tcW w:type="dxa" w:w="1150"/>
            <w:shd w:fill="F4F8FC" w:val="clear"/>
            <w:tcMar>
              <w:top w:type="dxa" w:w="60"/>
              <w:left w:type="dxa" w:w="120"/>
              <w:bottom w:type="dxa" w:w="60"/>
              <w:right w:type="dxa" w:w="120"/>
            </w:tcMar>
          </w:tcPr>
          <w:p>
            <w:r>
              <w:rPr>
                <w:rFonts w:ascii="Calibri" w:eastAsia="Microsoft YaHei"/>
                <w:color w:val="1A2B40"/>
                <w:sz w:val="19"/>
                <w:szCs w:val="19"/>
              </w:rPr>
              <w:t xml:space="preserve">✓</w:t>
            </w:r>
          </w:p>
        </w:tc>
        <w:tc>
          <w:tcPr>
            <w:tcW w:type="dxa" w:w="1150"/>
            <w:shd w:fill="F4F8FC" w:val="clear"/>
            <w:tcMar>
              <w:top w:type="dxa" w:w="60"/>
              <w:left w:type="dxa" w:w="120"/>
              <w:bottom w:type="dxa" w:w="60"/>
              <w:right w:type="dxa" w:w="120"/>
            </w:tcMar>
          </w:tcPr>
          <w:p>
            <w:r>
              <w:rPr>
                <w:rFonts w:ascii="Calibri" w:eastAsia="Microsoft YaHei"/>
                <w:color w:val="1A2B40"/>
                <w:sz w:val="19"/>
                <w:szCs w:val="19"/>
              </w:rPr>
              <w:t xml:space="preserve">✓</w:t>
            </w:r>
          </w:p>
        </w:tc>
        <w:tc>
          <w:tcPr>
            <w:tcW w:type="dxa" w:w="1300"/>
            <w:shd w:fill="F4F8FC" w:val="clear"/>
            <w:tcMar>
              <w:top w:type="dxa" w:w="60"/>
              <w:left w:type="dxa" w:w="120"/>
              <w:bottom w:type="dxa" w:w="60"/>
              <w:right w:type="dxa" w:w="120"/>
            </w:tcMar>
          </w:tcPr>
          <w:p>
            <w:r>
              <w:rPr>
                <w:rFonts w:ascii="Calibri" w:eastAsia="Microsoft YaHei"/>
                <w:color w:val="1A2B40"/>
                <w:sz w:val="19"/>
                <w:szCs w:val="19"/>
              </w:rPr>
              <w:t xml:space="preserve">✓</w:t>
            </w:r>
          </w:p>
        </w:tc>
      </w:tr>
      <w:tr>
        <w:trPr>
          <w:cantSplit/>
        </w:trPr>
        <w:tc>
          <w:tcPr>
            <w:tcW w:type="dxa" w:w="3300"/>
            <w:shd w:fill="FFFFFF" w:val="clear"/>
            <w:tcMar>
              <w:top w:type="dxa" w:w="60"/>
              <w:left w:type="dxa" w:w="120"/>
              <w:bottom w:type="dxa" w:w="60"/>
              <w:right w:type="dxa" w:w="120"/>
            </w:tcMar>
          </w:tcPr>
          <w:p>
            <w:r>
              <w:rPr>
                <w:rFonts w:ascii="Calibri" w:eastAsia="Microsoft YaHei"/>
                <w:color w:val="1A2B40"/>
                <w:sz w:val="19"/>
                <w:szCs w:val="19"/>
              </w:rPr>
              <w:t xml:space="preserve">Publish / approve</w:t>
            </w:r>
          </w:p>
        </w:tc>
        <w:tc>
          <w:tcPr>
            <w:tcW w:type="dxa" w:w="1150"/>
            <w:shd w:fill="FFFFFF" w:val="clear"/>
            <w:tcMar>
              <w:top w:type="dxa" w:w="60"/>
              <w:left w:type="dxa" w:w="120"/>
              <w:bottom w:type="dxa" w:w="60"/>
              <w:right w:type="dxa" w:w="120"/>
            </w:tcMar>
          </w:tcPr>
          <w:p>
            <w:r>
              <w:rPr>
                <w:rFonts w:ascii="Calibri" w:eastAsia="Microsoft YaHei"/>
                <w:color w:val="1A2B40"/>
                <w:sz w:val="19"/>
                <w:szCs w:val="19"/>
              </w:rPr>
              <w:t xml:space="preserve">—</w:t>
            </w:r>
          </w:p>
        </w:tc>
        <w:tc>
          <w:tcPr>
            <w:tcW w:type="dxa" w:w="1150"/>
            <w:shd w:fill="FFFFFF" w:val="clear"/>
            <w:tcMar>
              <w:top w:type="dxa" w:w="60"/>
              <w:left w:type="dxa" w:w="120"/>
              <w:bottom w:type="dxa" w:w="60"/>
              <w:right w:type="dxa" w:w="120"/>
            </w:tcMar>
          </w:tcPr>
          <w:p>
            <w:r>
              <w:rPr>
                <w:rFonts w:ascii="Calibri" w:eastAsia="Microsoft YaHei"/>
                <w:color w:val="1A2B40"/>
                <w:sz w:val="19"/>
                <w:szCs w:val="19"/>
              </w:rPr>
              <w:t xml:space="preserve">—</w:t>
            </w:r>
          </w:p>
        </w:tc>
        <w:tc>
          <w:tcPr>
            <w:tcW w:type="dxa" w:w="1150"/>
            <w:shd w:fill="FFFFFF" w:val="clear"/>
            <w:tcMar>
              <w:top w:type="dxa" w:w="60"/>
              <w:left w:type="dxa" w:w="120"/>
              <w:bottom w:type="dxa" w:w="60"/>
              <w:right w:type="dxa" w:w="120"/>
            </w:tcMar>
          </w:tcPr>
          <w:p>
            <w:r>
              <w:rPr>
                <w:rFonts w:ascii="Calibri" w:eastAsia="Microsoft YaHei"/>
                <w:color w:val="1A2B40"/>
                <w:sz w:val="19"/>
                <w:szCs w:val="19"/>
              </w:rPr>
              <w:t xml:space="preserve">✓</w:t>
            </w:r>
          </w:p>
        </w:tc>
        <w:tc>
          <w:tcPr>
            <w:tcW w:type="dxa" w:w="1150"/>
            <w:shd w:fill="FFFFFF" w:val="clear"/>
            <w:tcMar>
              <w:top w:type="dxa" w:w="60"/>
              <w:left w:type="dxa" w:w="120"/>
              <w:bottom w:type="dxa" w:w="60"/>
              <w:right w:type="dxa" w:w="120"/>
            </w:tcMar>
          </w:tcPr>
          <w:p>
            <w:r>
              <w:rPr>
                <w:rFonts w:ascii="Calibri" w:eastAsia="Microsoft YaHei"/>
                <w:color w:val="1A2B40"/>
                <w:sz w:val="19"/>
                <w:szCs w:val="19"/>
              </w:rPr>
              <w:t xml:space="preserve">✓</w:t>
            </w:r>
          </w:p>
        </w:tc>
        <w:tc>
          <w:tcPr>
            <w:tcW w:type="dxa" w:w="1300"/>
            <w:shd w:fill="FFFFFF" w:val="clear"/>
            <w:tcMar>
              <w:top w:type="dxa" w:w="60"/>
              <w:left w:type="dxa" w:w="120"/>
              <w:bottom w:type="dxa" w:w="60"/>
              <w:right w:type="dxa" w:w="120"/>
            </w:tcMar>
          </w:tcPr>
          <w:p>
            <w:r>
              <w:rPr>
                <w:rFonts w:ascii="Calibri" w:eastAsia="Microsoft YaHei"/>
                <w:color w:val="1A2B40"/>
                <w:sz w:val="19"/>
                <w:szCs w:val="19"/>
              </w:rPr>
              <w:t xml:space="preserve">✓</w:t>
            </w:r>
          </w:p>
        </w:tc>
      </w:tr>
      <w:tr>
        <w:trPr>
          <w:cantSplit/>
        </w:trPr>
        <w:tc>
          <w:tcPr>
            <w:tcW w:type="dxa" w:w="3300"/>
            <w:shd w:fill="F4F8FC" w:val="clear"/>
            <w:tcMar>
              <w:top w:type="dxa" w:w="60"/>
              <w:left w:type="dxa" w:w="120"/>
              <w:bottom w:type="dxa" w:w="60"/>
              <w:right w:type="dxa" w:w="120"/>
            </w:tcMar>
          </w:tcPr>
          <w:p>
            <w:r>
              <w:rPr>
                <w:rFonts w:ascii="Calibri" w:eastAsia="Microsoft YaHei"/>
                <w:color w:val="1A2B40"/>
                <w:sz w:val="19"/>
                <w:szCs w:val="19"/>
              </w:rPr>
              <w:t xml:space="preserve">Catalog / directory / serials CRUD</w:t>
            </w:r>
          </w:p>
        </w:tc>
        <w:tc>
          <w:tcPr>
            <w:tcW w:type="dxa" w:w="1150"/>
            <w:shd w:fill="F4F8FC" w:val="clear"/>
            <w:tcMar>
              <w:top w:type="dxa" w:w="60"/>
              <w:left w:type="dxa" w:w="120"/>
              <w:bottom w:type="dxa" w:w="60"/>
              <w:right w:type="dxa" w:w="120"/>
            </w:tcMar>
          </w:tcPr>
          <w:p>
            <w:r>
              <w:rPr>
                <w:rFonts w:ascii="Calibri" w:eastAsia="Microsoft YaHei"/>
                <w:color w:val="1A2B40"/>
                <w:sz w:val="19"/>
                <w:szCs w:val="19"/>
              </w:rPr>
              <w:t xml:space="preserve">—</w:t>
            </w:r>
          </w:p>
        </w:tc>
        <w:tc>
          <w:tcPr>
            <w:tcW w:type="dxa" w:w="1150"/>
            <w:shd w:fill="F4F8FC" w:val="clear"/>
            <w:tcMar>
              <w:top w:type="dxa" w:w="60"/>
              <w:left w:type="dxa" w:w="120"/>
              <w:bottom w:type="dxa" w:w="60"/>
              <w:right w:type="dxa" w:w="120"/>
            </w:tcMar>
          </w:tcPr>
          <w:p>
            <w:r>
              <w:rPr>
                <w:rFonts w:ascii="Calibri" w:eastAsia="Microsoft YaHei"/>
                <w:color w:val="1A2B40"/>
                <w:sz w:val="19"/>
                <w:szCs w:val="19"/>
              </w:rPr>
              <w:t xml:space="preserve">—</w:t>
            </w:r>
          </w:p>
        </w:tc>
        <w:tc>
          <w:tcPr>
            <w:tcW w:type="dxa" w:w="1150"/>
            <w:shd w:fill="F4F8FC" w:val="clear"/>
            <w:tcMar>
              <w:top w:type="dxa" w:w="60"/>
              <w:left w:type="dxa" w:w="120"/>
              <w:bottom w:type="dxa" w:w="60"/>
              <w:right w:type="dxa" w:w="120"/>
            </w:tcMar>
          </w:tcPr>
          <w:p>
            <w:r>
              <w:rPr>
                <w:rFonts w:ascii="Calibri" w:eastAsia="Microsoft YaHei"/>
                <w:color w:val="1A2B40"/>
                <w:sz w:val="19"/>
                <w:szCs w:val="19"/>
              </w:rPr>
              <w:t xml:space="preserve">✓</w:t>
            </w:r>
          </w:p>
        </w:tc>
        <w:tc>
          <w:tcPr>
            <w:tcW w:type="dxa" w:w="1150"/>
            <w:shd w:fill="F4F8FC" w:val="clear"/>
            <w:tcMar>
              <w:top w:type="dxa" w:w="60"/>
              <w:left w:type="dxa" w:w="120"/>
              <w:bottom w:type="dxa" w:w="60"/>
              <w:right w:type="dxa" w:w="120"/>
            </w:tcMar>
          </w:tcPr>
          <w:p>
            <w:r>
              <w:rPr>
                <w:rFonts w:ascii="Calibri" w:eastAsia="Microsoft YaHei"/>
                <w:color w:val="1A2B40"/>
                <w:sz w:val="19"/>
                <w:szCs w:val="19"/>
              </w:rPr>
              <w:t xml:space="preserve">✓</w:t>
            </w:r>
          </w:p>
        </w:tc>
        <w:tc>
          <w:tcPr>
            <w:tcW w:type="dxa" w:w="1300"/>
            <w:shd w:fill="F4F8FC" w:val="clear"/>
            <w:tcMar>
              <w:top w:type="dxa" w:w="60"/>
              <w:left w:type="dxa" w:w="120"/>
              <w:bottom w:type="dxa" w:w="60"/>
              <w:right w:type="dxa" w:w="120"/>
            </w:tcMar>
          </w:tcPr>
          <w:p>
            <w:r>
              <w:rPr>
                <w:rFonts w:ascii="Calibri" w:eastAsia="Microsoft YaHei"/>
                <w:color w:val="1A2B40"/>
                <w:sz w:val="19"/>
                <w:szCs w:val="19"/>
              </w:rPr>
              <w:t xml:space="preserve">✓</w:t>
            </w:r>
          </w:p>
        </w:tc>
      </w:tr>
      <w:tr>
        <w:trPr>
          <w:cantSplit/>
        </w:trPr>
        <w:tc>
          <w:tcPr>
            <w:tcW w:type="dxa" w:w="3300"/>
            <w:shd w:fill="FFFFFF" w:val="clear"/>
            <w:tcMar>
              <w:top w:type="dxa" w:w="60"/>
              <w:left w:type="dxa" w:w="120"/>
              <w:bottom w:type="dxa" w:w="60"/>
              <w:right w:type="dxa" w:w="120"/>
            </w:tcMar>
          </w:tcPr>
          <w:p>
            <w:r>
              <w:rPr>
                <w:rFonts w:ascii="Calibri" w:eastAsia="Microsoft YaHei"/>
                <w:color w:val="1A2B40"/>
                <w:sz w:val="19"/>
                <w:szCs w:val="19"/>
              </w:rPr>
              <w:t xml:space="preserve">Partner org lifecycle</w:t>
            </w:r>
          </w:p>
        </w:tc>
        <w:tc>
          <w:tcPr>
            <w:tcW w:type="dxa" w:w="1150"/>
            <w:shd w:fill="FFFFFF" w:val="clear"/>
            <w:tcMar>
              <w:top w:type="dxa" w:w="60"/>
              <w:left w:type="dxa" w:w="120"/>
              <w:bottom w:type="dxa" w:w="60"/>
              <w:right w:type="dxa" w:w="120"/>
            </w:tcMar>
          </w:tcPr>
          <w:p>
            <w:r>
              <w:rPr>
                <w:rFonts w:ascii="Calibri" w:eastAsia="Microsoft YaHei"/>
                <w:color w:val="1A2B40"/>
                <w:sz w:val="19"/>
                <w:szCs w:val="19"/>
              </w:rPr>
              <w:t xml:space="preserve">—</w:t>
            </w:r>
          </w:p>
        </w:tc>
        <w:tc>
          <w:tcPr>
            <w:tcW w:type="dxa" w:w="1150"/>
            <w:shd w:fill="FFFFFF" w:val="clear"/>
            <w:tcMar>
              <w:top w:type="dxa" w:w="60"/>
              <w:left w:type="dxa" w:w="120"/>
              <w:bottom w:type="dxa" w:w="60"/>
              <w:right w:type="dxa" w:w="120"/>
            </w:tcMar>
          </w:tcPr>
          <w:p>
            <w:r>
              <w:rPr>
                <w:rFonts w:ascii="Calibri" w:eastAsia="Microsoft YaHei"/>
                <w:color w:val="1A2B40"/>
                <w:sz w:val="19"/>
                <w:szCs w:val="19"/>
              </w:rPr>
              <w:t xml:space="preserve">—</w:t>
            </w:r>
          </w:p>
        </w:tc>
        <w:tc>
          <w:tcPr>
            <w:tcW w:type="dxa" w:w="1150"/>
            <w:shd w:fill="FFFFFF" w:val="clear"/>
            <w:tcMar>
              <w:top w:type="dxa" w:w="60"/>
              <w:left w:type="dxa" w:w="120"/>
              <w:bottom w:type="dxa" w:w="60"/>
              <w:right w:type="dxa" w:w="120"/>
            </w:tcMar>
          </w:tcPr>
          <w:p>
            <w:r>
              <w:rPr>
                <w:rFonts w:ascii="Calibri" w:eastAsia="Microsoft YaHei"/>
                <w:color w:val="1A2B40"/>
                <w:sz w:val="19"/>
                <w:szCs w:val="19"/>
              </w:rPr>
              <w:t xml:space="preserve">—</w:t>
            </w:r>
          </w:p>
        </w:tc>
        <w:tc>
          <w:tcPr>
            <w:tcW w:type="dxa" w:w="1150"/>
            <w:shd w:fill="FFFFFF" w:val="clear"/>
            <w:tcMar>
              <w:top w:type="dxa" w:w="60"/>
              <w:left w:type="dxa" w:w="120"/>
              <w:bottom w:type="dxa" w:w="60"/>
              <w:right w:type="dxa" w:w="120"/>
            </w:tcMar>
          </w:tcPr>
          <w:p>
            <w:r>
              <w:rPr>
                <w:rFonts w:ascii="Calibri" w:eastAsia="Microsoft YaHei"/>
                <w:color w:val="1A2B40"/>
                <w:sz w:val="19"/>
                <w:szCs w:val="19"/>
              </w:rPr>
              <w:t xml:space="preserve">✓</w:t>
            </w:r>
          </w:p>
        </w:tc>
        <w:tc>
          <w:tcPr>
            <w:tcW w:type="dxa" w:w="1300"/>
            <w:shd w:fill="FFFFFF" w:val="clear"/>
            <w:tcMar>
              <w:top w:type="dxa" w:w="60"/>
              <w:left w:type="dxa" w:w="120"/>
              <w:bottom w:type="dxa" w:w="60"/>
              <w:right w:type="dxa" w:w="120"/>
            </w:tcMar>
          </w:tcPr>
          <w:p>
            <w:r>
              <w:rPr>
                <w:rFonts w:ascii="Calibri" w:eastAsia="Microsoft YaHei"/>
                <w:color w:val="1A2B40"/>
                <w:sz w:val="19"/>
                <w:szCs w:val="19"/>
              </w:rPr>
              <w:t xml:space="preserve">✓</w:t>
            </w:r>
          </w:p>
        </w:tc>
      </w:tr>
      <w:tr>
        <w:trPr>
          <w:cantSplit/>
        </w:trPr>
        <w:tc>
          <w:tcPr>
            <w:tcW w:type="dxa" w:w="3300"/>
            <w:shd w:fill="F4F8FC" w:val="clear"/>
            <w:tcMar>
              <w:top w:type="dxa" w:w="60"/>
              <w:left w:type="dxa" w:w="120"/>
              <w:bottom w:type="dxa" w:w="60"/>
              <w:right w:type="dxa" w:w="120"/>
            </w:tcMar>
          </w:tcPr>
          <w:p>
            <w:r>
              <w:rPr>
                <w:rFonts w:ascii="Calibri" w:eastAsia="Microsoft YaHei"/>
                <w:color w:val="1A2B40"/>
                <w:sz w:val="19"/>
                <w:szCs w:val="19"/>
              </w:rPr>
              <w:t xml:space="preserve">User management / locale activation</w:t>
            </w:r>
          </w:p>
        </w:tc>
        <w:tc>
          <w:tcPr>
            <w:tcW w:type="dxa" w:w="1150"/>
            <w:shd w:fill="F4F8FC" w:val="clear"/>
            <w:tcMar>
              <w:top w:type="dxa" w:w="60"/>
              <w:left w:type="dxa" w:w="120"/>
              <w:bottom w:type="dxa" w:w="60"/>
              <w:right w:type="dxa" w:w="120"/>
            </w:tcMar>
          </w:tcPr>
          <w:p>
            <w:r>
              <w:rPr>
                <w:rFonts w:ascii="Calibri" w:eastAsia="Microsoft YaHei"/>
                <w:color w:val="1A2B40"/>
                <w:sz w:val="19"/>
                <w:szCs w:val="19"/>
              </w:rPr>
              <w:t xml:space="preserve">—</w:t>
            </w:r>
          </w:p>
        </w:tc>
        <w:tc>
          <w:tcPr>
            <w:tcW w:type="dxa" w:w="1150"/>
            <w:shd w:fill="F4F8FC" w:val="clear"/>
            <w:tcMar>
              <w:top w:type="dxa" w:w="60"/>
              <w:left w:type="dxa" w:w="120"/>
              <w:bottom w:type="dxa" w:w="60"/>
              <w:right w:type="dxa" w:w="120"/>
            </w:tcMar>
          </w:tcPr>
          <w:p>
            <w:r>
              <w:rPr>
                <w:rFonts w:ascii="Calibri" w:eastAsia="Microsoft YaHei"/>
                <w:color w:val="1A2B40"/>
                <w:sz w:val="19"/>
                <w:szCs w:val="19"/>
              </w:rPr>
              <w:t xml:space="preserve">—</w:t>
            </w:r>
          </w:p>
        </w:tc>
        <w:tc>
          <w:tcPr>
            <w:tcW w:type="dxa" w:w="1150"/>
            <w:shd w:fill="F4F8FC" w:val="clear"/>
            <w:tcMar>
              <w:top w:type="dxa" w:w="60"/>
              <w:left w:type="dxa" w:w="120"/>
              <w:bottom w:type="dxa" w:w="60"/>
              <w:right w:type="dxa" w:w="120"/>
            </w:tcMar>
          </w:tcPr>
          <w:p>
            <w:r>
              <w:rPr>
                <w:rFonts w:ascii="Calibri" w:eastAsia="Microsoft YaHei"/>
                <w:color w:val="1A2B40"/>
                <w:sz w:val="19"/>
                <w:szCs w:val="19"/>
              </w:rPr>
              <w:t xml:space="preserve">—</w:t>
            </w:r>
          </w:p>
        </w:tc>
        <w:tc>
          <w:tcPr>
            <w:tcW w:type="dxa" w:w="1150"/>
            <w:shd w:fill="F4F8FC" w:val="clear"/>
            <w:tcMar>
              <w:top w:type="dxa" w:w="60"/>
              <w:left w:type="dxa" w:w="120"/>
              <w:bottom w:type="dxa" w:w="60"/>
              <w:right w:type="dxa" w:w="120"/>
            </w:tcMar>
          </w:tcPr>
          <w:p>
            <w:r>
              <w:rPr>
                <w:rFonts w:ascii="Calibri" w:eastAsia="Microsoft YaHei"/>
                <w:color w:val="1A2B40"/>
                <w:sz w:val="19"/>
                <w:szCs w:val="19"/>
              </w:rPr>
              <w:t xml:space="preserve">—</w:t>
            </w:r>
          </w:p>
        </w:tc>
        <w:tc>
          <w:tcPr>
            <w:tcW w:type="dxa" w:w="1300"/>
            <w:shd w:fill="F4F8FC" w:val="clear"/>
            <w:tcMar>
              <w:top w:type="dxa" w:w="60"/>
              <w:left w:type="dxa" w:w="120"/>
              <w:bottom w:type="dxa" w:w="60"/>
              <w:right w:type="dxa" w:w="120"/>
            </w:tcMar>
          </w:tcPr>
          <w:p>
            <w:r>
              <w:rPr>
                <w:rFonts w:ascii="Calibri" w:eastAsia="Microsoft YaHei"/>
                <w:color w:val="1A2B40"/>
                <w:sz w:val="19"/>
                <w:szCs w:val="19"/>
              </w:rPr>
              <w:t xml:space="preserve">✓</w:t>
            </w:r>
          </w:p>
        </w:tc>
      </w:tr>
      <w:tr>
        <w:trPr>
          <w:cantSplit/>
        </w:trPr>
        <w:tc>
          <w:tcPr>
            <w:tcW w:type="dxa" w:w="3300"/>
            <w:shd w:fill="FFFFFF" w:val="clear"/>
            <w:tcMar>
              <w:top w:type="dxa" w:w="60"/>
              <w:left w:type="dxa" w:w="120"/>
              <w:bottom w:type="dxa" w:w="60"/>
              <w:right w:type="dxa" w:w="120"/>
            </w:tcMar>
          </w:tcPr>
          <w:p>
            <w:r>
              <w:rPr>
                <w:rFonts w:ascii="Calibri" w:eastAsia="Microsoft YaHei"/>
                <w:color w:val="1A2B40"/>
                <w:sz w:val="19"/>
                <w:szCs w:val="19"/>
              </w:rPr>
              <w:t xml:space="preserve">Audit log read</w:t>
            </w:r>
          </w:p>
        </w:tc>
        <w:tc>
          <w:tcPr>
            <w:tcW w:type="dxa" w:w="1150"/>
            <w:shd w:fill="FFFFFF" w:val="clear"/>
            <w:tcMar>
              <w:top w:type="dxa" w:w="60"/>
              <w:left w:type="dxa" w:w="120"/>
              <w:bottom w:type="dxa" w:w="60"/>
              <w:right w:type="dxa" w:w="120"/>
            </w:tcMar>
          </w:tcPr>
          <w:p>
            <w:r>
              <w:rPr>
                <w:rFonts w:ascii="Calibri" w:eastAsia="Microsoft YaHei"/>
                <w:color w:val="1A2B40"/>
                <w:sz w:val="19"/>
                <w:szCs w:val="19"/>
              </w:rPr>
              <w:t xml:space="preserve">—</w:t>
            </w:r>
          </w:p>
        </w:tc>
        <w:tc>
          <w:tcPr>
            <w:tcW w:type="dxa" w:w="1150"/>
            <w:shd w:fill="FFFFFF" w:val="clear"/>
            <w:tcMar>
              <w:top w:type="dxa" w:w="60"/>
              <w:left w:type="dxa" w:w="120"/>
              <w:bottom w:type="dxa" w:w="60"/>
              <w:right w:type="dxa" w:w="120"/>
            </w:tcMar>
          </w:tcPr>
          <w:p>
            <w:r>
              <w:rPr>
                <w:rFonts w:ascii="Calibri" w:eastAsia="Microsoft YaHei"/>
                <w:color w:val="1A2B40"/>
                <w:sz w:val="19"/>
                <w:szCs w:val="19"/>
              </w:rPr>
              <w:t xml:space="preserve">—</w:t>
            </w:r>
          </w:p>
        </w:tc>
        <w:tc>
          <w:tcPr>
            <w:tcW w:type="dxa" w:w="1150"/>
            <w:shd w:fill="FFFFFF" w:val="clear"/>
            <w:tcMar>
              <w:top w:type="dxa" w:w="60"/>
              <w:left w:type="dxa" w:w="120"/>
              <w:bottom w:type="dxa" w:w="60"/>
              <w:right w:type="dxa" w:w="120"/>
            </w:tcMar>
          </w:tcPr>
          <w:p>
            <w:r>
              <w:rPr>
                <w:rFonts w:ascii="Calibri" w:eastAsia="Microsoft YaHei"/>
                <w:color w:val="1A2B40"/>
                <w:sz w:val="19"/>
                <w:szCs w:val="19"/>
              </w:rPr>
              <w:t xml:space="preserve">✓</w:t>
            </w:r>
          </w:p>
        </w:tc>
        <w:tc>
          <w:tcPr>
            <w:tcW w:type="dxa" w:w="1150"/>
            <w:shd w:fill="FFFFFF" w:val="clear"/>
            <w:tcMar>
              <w:top w:type="dxa" w:w="60"/>
              <w:left w:type="dxa" w:w="120"/>
              <w:bottom w:type="dxa" w:w="60"/>
              <w:right w:type="dxa" w:w="120"/>
            </w:tcMar>
          </w:tcPr>
          <w:p>
            <w:r>
              <w:rPr>
                <w:rFonts w:ascii="Calibri" w:eastAsia="Microsoft YaHei"/>
                <w:color w:val="1A2B40"/>
                <w:sz w:val="19"/>
                <w:szCs w:val="19"/>
              </w:rPr>
              <w:t xml:space="preserve">✓</w:t>
            </w:r>
          </w:p>
        </w:tc>
        <w:tc>
          <w:tcPr>
            <w:tcW w:type="dxa" w:w="1300"/>
            <w:shd w:fill="FFFFFF" w:val="clear"/>
            <w:tcMar>
              <w:top w:type="dxa" w:w="60"/>
              <w:left w:type="dxa" w:w="120"/>
              <w:bottom w:type="dxa" w:w="60"/>
              <w:right w:type="dxa" w:w="120"/>
            </w:tcMar>
          </w:tcPr>
          <w:p>
            <w:r>
              <w:rPr>
                <w:rFonts w:ascii="Calibri" w:eastAsia="Microsoft YaHei"/>
                <w:color w:val="1A2B40"/>
                <w:sz w:val="19"/>
                <w:szCs w:val="19"/>
              </w:rPr>
              <w:t xml:space="preserve">✓</w:t>
            </w:r>
          </w:p>
        </w:tc>
      </w:tr>
    </w:tbl>
    <w:p>
      <w:pPr>
        <w:spacing w:after="120"/>
      </w:pPr>
    </w:p>
    <w:p>
      <w:pPr>
        <w:pStyle w:val="Heading2"/>
        <w:spacing w:after="120" w:before="300"/>
      </w:pPr>
      <w:bookmarkStart w:id="100077" w:name="_Toc100077"/>
      <w:r>
        <w:rPr>
          <w:rFonts w:ascii="Calibri" w:eastAsia="SimHei"/>
          <w:b/>
          <w:bCs/>
          <w:color w:val="0A1628"/>
          <w:sz w:val="28"/>
          <w:szCs w:val="28"/>
        </w:rPr>
        <w:t xml:space="preserve">10.4 Appendix D — Glossary</w:t>
      </w:r>
      <w:bookmarkEnd w:id="100077"/>
    </w:p>
    <w:tbl>
      <w:tblPr>
        <w:tblW w:type="dxa" w:w="9200"/>
        <w:tblBorders>
          <w:top w:val="single" w:color="D5DDE7" w:sz="4"/>
          <w:left w:val="single" w:color="D5DDE7" w:sz="4"/>
          <w:bottom w:val="single" w:color="D5DDE7" w:sz="4"/>
          <w:right w:val="single" w:color="D5DDE7" w:sz="4"/>
          <w:insideH w:val="single" w:color="E6EBF1" w:sz="2"/>
          <w:insideV w:val="single" w:color="E6EBF1" w:sz="2"/>
        </w:tblBorders>
        <w:tblLayout w:type="fixed"/>
      </w:tblPr>
      <w:tblGrid>
        <w:gridCol w:w="2800"/>
        <w:gridCol w:w="6200"/>
      </w:tblGrid>
      <w:tr>
        <w:trPr>
          <w:cantSplit/>
          <w:tblHeader/>
        </w:trPr>
        <w:tc>
          <w:tcPr>
            <w:tcW w:type="dxa" w:w="2800"/>
            <w:shd w:fill="0A1628" w:val="clear"/>
            <w:tcMar>
              <w:top w:type="dxa" w:w="80"/>
              <w:left w:type="dxa" w:w="120"/>
              <w:bottom w:type="dxa" w:w="80"/>
              <w:right w:type="dxa" w:w="120"/>
            </w:tcMar>
            <w:vAlign w:val="center"/>
          </w:tcPr>
          <w:p>
            <w:r>
              <w:rPr>
                <w:rFonts w:ascii="Calibri" w:eastAsia="Microsoft YaHei"/>
                <w:b/>
                <w:bCs/>
                <w:color w:val="FFFFFF"/>
                <w:sz w:val="19"/>
                <w:szCs w:val="19"/>
              </w:rPr>
              <w:t xml:space="preserve">Term</w:t>
            </w:r>
          </w:p>
        </w:tc>
        <w:tc>
          <w:tcPr>
            <w:tcW w:type="dxa" w:w="6200"/>
            <w:shd w:fill="0A1628" w:val="clear"/>
            <w:tcMar>
              <w:top w:type="dxa" w:w="80"/>
              <w:left w:type="dxa" w:w="120"/>
              <w:bottom w:type="dxa" w:w="80"/>
              <w:right w:type="dxa" w:w="120"/>
            </w:tcMar>
            <w:vAlign w:val="center"/>
          </w:tcPr>
          <w:p>
            <w:r>
              <w:rPr>
                <w:rFonts w:ascii="Calibri" w:eastAsia="Microsoft YaHei"/>
                <w:b/>
                <w:bCs/>
                <w:color w:val="FFFFFF"/>
                <w:sz w:val="19"/>
                <w:szCs w:val="19"/>
              </w:rPr>
              <w:t xml:space="preserve">Definition</w:t>
            </w:r>
          </w:p>
        </w:tc>
      </w:tr>
      <w:tr>
        <w:trPr>
          <w:cantSplit/>
        </w:trPr>
        <w:tc>
          <w:tcPr>
            <w:tcW w:type="dxa" w:w="2800"/>
            <w:shd w:fill="FFFFFF" w:val="clear"/>
            <w:tcMar>
              <w:top w:type="dxa" w:w="60"/>
              <w:left w:type="dxa" w:w="120"/>
              <w:bottom w:type="dxa" w:w="60"/>
              <w:right w:type="dxa" w:w="120"/>
            </w:tcMar>
          </w:tcPr>
          <w:p>
            <w:r>
              <w:rPr>
                <w:rFonts w:ascii="Calibri" w:eastAsia="Microsoft YaHei"/>
                <w:color w:val="1A2B40"/>
                <w:sz w:val="19"/>
                <w:szCs w:val="19"/>
              </w:rPr>
              <w:t xml:space="preserve">Bridge (export/merge)</w:t>
            </w:r>
          </w:p>
        </w:tc>
        <w:tc>
          <w:tcPr>
            <w:tcW w:type="dxa" w:w="6200"/>
            <w:shd w:fill="FFFFFF" w:val="clear"/>
            <w:tcMar>
              <w:top w:type="dxa" w:w="60"/>
              <w:left w:type="dxa" w:w="120"/>
              <w:bottom w:type="dxa" w:w="60"/>
              <w:right w:type="dxa" w:w="120"/>
            </w:tcMar>
          </w:tcPr>
          <w:p>
            <w:r>
              <w:rPr>
                <w:rFonts w:ascii="Calibri" w:eastAsia="Microsoft YaHei"/>
                <w:color w:val="1A2B40"/>
                <w:sz w:val="19"/>
                <w:szCs w:val="19"/>
              </w:rPr>
              <w:t xml:space="preserve">The build-time pipeline that turns published DB rows into cms-content.js and merges them into the static site</w:t>
            </w:r>
          </w:p>
        </w:tc>
      </w:tr>
      <w:tr>
        <w:trPr>
          <w:cantSplit/>
        </w:trPr>
        <w:tc>
          <w:tcPr>
            <w:tcW w:type="dxa" w:w="2800"/>
            <w:shd w:fill="F4F8FC" w:val="clear"/>
            <w:tcMar>
              <w:top w:type="dxa" w:w="60"/>
              <w:left w:type="dxa" w:w="120"/>
              <w:bottom w:type="dxa" w:w="60"/>
              <w:right w:type="dxa" w:w="120"/>
            </w:tcMar>
          </w:tcPr>
          <w:p>
            <w:r>
              <w:rPr>
                <w:rFonts w:ascii="Calibri" w:eastAsia="Microsoft YaHei"/>
                <w:color w:val="1A2B40"/>
                <w:sz w:val="19"/>
                <w:szCs w:val="19"/>
              </w:rPr>
              <w:t xml:space="preserve">DAM</w:t>
            </w:r>
          </w:p>
        </w:tc>
        <w:tc>
          <w:tcPr>
            <w:tcW w:type="dxa" w:w="6200"/>
            <w:shd w:fill="F4F8FC" w:val="clear"/>
            <w:tcMar>
              <w:top w:type="dxa" w:w="60"/>
              <w:left w:type="dxa" w:w="120"/>
              <w:bottom w:type="dxa" w:w="60"/>
              <w:right w:type="dxa" w:w="120"/>
            </w:tcMar>
          </w:tcPr>
          <w:p>
            <w:r>
              <w:rPr>
                <w:rFonts w:ascii="Calibri" w:eastAsia="Microsoft YaHei"/>
                <w:color w:val="1A2B40"/>
                <w:sz w:val="19"/>
                <w:szCs w:val="19"/>
              </w:rPr>
              <w:t xml:space="preserve">Digital Asset Management — the media library with variants, folders and usage tracking</w:t>
            </w:r>
          </w:p>
        </w:tc>
      </w:tr>
      <w:tr>
        <w:trPr>
          <w:cantSplit/>
        </w:trPr>
        <w:tc>
          <w:tcPr>
            <w:tcW w:type="dxa" w:w="2800"/>
            <w:shd w:fill="FFFFFF" w:val="clear"/>
            <w:tcMar>
              <w:top w:type="dxa" w:w="60"/>
              <w:left w:type="dxa" w:w="120"/>
              <w:bottom w:type="dxa" w:w="60"/>
              <w:right w:type="dxa" w:w="120"/>
            </w:tcMar>
          </w:tcPr>
          <w:p>
            <w:r>
              <w:rPr>
                <w:rFonts w:ascii="Calibri" w:eastAsia="Microsoft YaHei"/>
                <w:color w:val="1A2B40"/>
                <w:sz w:val="19"/>
                <w:szCs w:val="19"/>
              </w:rPr>
              <w:t xml:space="preserve">Deduped append</w:t>
            </w:r>
          </w:p>
        </w:tc>
        <w:tc>
          <w:tcPr>
            <w:tcW w:type="dxa" w:w="6200"/>
            <w:shd w:fill="FFFFFF" w:val="clear"/>
            <w:tcMar>
              <w:top w:type="dxa" w:w="60"/>
              <w:left w:type="dxa" w:w="120"/>
              <w:bottom w:type="dxa" w:w="60"/>
              <w:right w:type="dxa" w:w="120"/>
            </w:tcMar>
          </w:tcPr>
          <w:p>
            <w:r>
              <w:rPr>
                <w:rFonts w:ascii="Calibri" w:eastAsia="Microsoft YaHei"/>
                <w:color w:val="1A2B40"/>
                <w:sz w:val="19"/>
                <w:szCs w:val="19"/>
              </w:rPr>
              <w:t xml:space="preserve">Merge-layer behavior: entries are matched by natural key and only genuinely new ones are added</w:t>
            </w:r>
          </w:p>
        </w:tc>
      </w:tr>
      <w:tr>
        <w:trPr>
          <w:cantSplit/>
        </w:trPr>
        <w:tc>
          <w:tcPr>
            <w:tcW w:type="dxa" w:w="2800"/>
            <w:shd w:fill="F4F8FC" w:val="clear"/>
            <w:tcMar>
              <w:top w:type="dxa" w:w="60"/>
              <w:left w:type="dxa" w:w="120"/>
              <w:bottom w:type="dxa" w:w="60"/>
              <w:right w:type="dxa" w:w="120"/>
            </w:tcMar>
          </w:tcPr>
          <w:p>
            <w:r>
              <w:rPr>
                <w:rFonts w:ascii="Calibri" w:eastAsia="Microsoft YaHei"/>
                <w:color w:val="1A2B40"/>
                <w:sz w:val="19"/>
                <w:szCs w:val="19"/>
              </w:rPr>
              <w:t xml:space="preserve">PGlite</w:t>
            </w:r>
          </w:p>
        </w:tc>
        <w:tc>
          <w:tcPr>
            <w:tcW w:type="dxa" w:w="6200"/>
            <w:shd w:fill="F4F8FC" w:val="clear"/>
            <w:tcMar>
              <w:top w:type="dxa" w:w="60"/>
              <w:left w:type="dxa" w:w="120"/>
              <w:bottom w:type="dxa" w:w="60"/>
              <w:right w:type="dxa" w:w="120"/>
            </w:tcMar>
          </w:tcPr>
          <w:p>
            <w:r>
              <w:rPr>
                <w:rFonts w:ascii="Calibri" w:eastAsia="Microsoft YaHei"/>
                <w:color w:val="1A2B40"/>
                <w:sz w:val="19"/>
                <w:szCs w:val="19"/>
              </w:rPr>
              <w:t xml:space="preserve">Embedded Postgres (WASM) used for dev/test; refused in production</w:t>
            </w:r>
          </w:p>
        </w:tc>
      </w:tr>
      <w:tr>
        <w:trPr>
          <w:cantSplit/>
        </w:trPr>
        <w:tc>
          <w:tcPr>
            <w:tcW w:type="dxa" w:w="2800"/>
            <w:shd w:fill="FFFFFF" w:val="clear"/>
            <w:tcMar>
              <w:top w:type="dxa" w:w="60"/>
              <w:left w:type="dxa" w:w="120"/>
              <w:bottom w:type="dxa" w:w="60"/>
              <w:right w:type="dxa" w:w="120"/>
            </w:tcMar>
          </w:tcPr>
          <w:p>
            <w:r>
              <w:rPr>
                <w:rFonts w:ascii="Calibri" w:eastAsia="Microsoft YaHei"/>
                <w:color w:val="1A2B40"/>
                <w:sz w:val="19"/>
                <w:szCs w:val="19"/>
              </w:rPr>
              <w:t xml:space="preserve">QVL</w:t>
            </w:r>
          </w:p>
        </w:tc>
        <w:tc>
          <w:tcPr>
            <w:tcW w:type="dxa" w:w="6200"/>
            <w:shd w:fill="FFFFFF" w:val="clear"/>
            <w:tcMar>
              <w:top w:type="dxa" w:w="60"/>
              <w:left w:type="dxa" w:w="120"/>
              <w:bottom w:type="dxa" w:w="60"/>
              <w:right w:type="dxa" w:w="120"/>
            </w:tcMar>
          </w:tcPr>
          <w:p>
            <w:r>
              <w:rPr>
                <w:rFonts w:ascii="Calibri" w:eastAsia="Microsoft YaHei"/>
                <w:color w:val="1A2B40"/>
                <w:sz w:val="19"/>
                <w:szCs w:val="19"/>
              </w:rPr>
              <w:t xml:space="preserve">Qualified Vendor List — the validated-device compatibility matrix</w:t>
            </w:r>
          </w:p>
        </w:tc>
      </w:tr>
      <w:tr>
        <w:trPr>
          <w:cantSplit/>
        </w:trPr>
        <w:tc>
          <w:tcPr>
            <w:tcW w:type="dxa" w:w="2800"/>
            <w:shd w:fill="F4F8FC" w:val="clear"/>
            <w:tcMar>
              <w:top w:type="dxa" w:w="60"/>
              <w:left w:type="dxa" w:w="120"/>
              <w:bottom w:type="dxa" w:w="60"/>
              <w:right w:type="dxa" w:w="120"/>
            </w:tcMar>
          </w:tcPr>
          <w:p>
            <w:r>
              <w:rPr>
                <w:rFonts w:ascii="Calibri" w:eastAsia="Microsoft YaHei"/>
                <w:color w:val="1A2B40"/>
                <w:sz w:val="19"/>
                <w:szCs w:val="19"/>
              </w:rPr>
              <w:t xml:space="preserve">SLA risk queue</w:t>
            </w:r>
          </w:p>
        </w:tc>
        <w:tc>
          <w:tcPr>
            <w:tcW w:type="dxa" w:w="6200"/>
            <w:shd w:fill="F4F8FC" w:val="clear"/>
            <w:tcMar>
              <w:top w:type="dxa" w:w="60"/>
              <w:left w:type="dxa" w:w="120"/>
              <w:bottom w:type="dxa" w:w="60"/>
              <w:right w:type="dxa" w:w="120"/>
            </w:tcMar>
          </w:tcPr>
          <w:p>
            <w:r>
              <w:rPr>
                <w:rFonts w:ascii="Calibri" w:eastAsia="Microsoft YaHei"/>
                <w:color w:val="1A2B40"/>
                <w:sz w:val="19"/>
                <w:szCs w:val="19"/>
              </w:rPr>
              <w:t xml:space="preserve">Dashboard list of open leads past (or near) their first-response deadline</w:t>
            </w:r>
          </w:p>
        </w:tc>
      </w:tr>
      <w:tr>
        <w:trPr>
          <w:cantSplit/>
        </w:trPr>
        <w:tc>
          <w:tcPr>
            <w:tcW w:type="dxa" w:w="2800"/>
            <w:shd w:fill="FFFFFF" w:val="clear"/>
            <w:tcMar>
              <w:top w:type="dxa" w:w="60"/>
              <w:left w:type="dxa" w:w="120"/>
              <w:bottom w:type="dxa" w:w="60"/>
              <w:right w:type="dxa" w:w="120"/>
            </w:tcMar>
          </w:tcPr>
          <w:p>
            <w:r>
              <w:rPr>
                <w:rFonts w:ascii="Calibri" w:eastAsia="Microsoft YaHei"/>
                <w:color w:val="1A2B40"/>
                <w:sz w:val="19"/>
                <w:szCs w:val="19"/>
              </w:rPr>
              <w:t xml:space="preserve">SN-check</w:t>
            </w:r>
          </w:p>
        </w:tc>
        <w:tc>
          <w:tcPr>
            <w:tcW w:type="dxa" w:w="6200"/>
            <w:shd w:fill="FFFFFF" w:val="clear"/>
            <w:tcMar>
              <w:top w:type="dxa" w:w="60"/>
              <w:left w:type="dxa" w:w="120"/>
              <w:bottom w:type="dxa" w:w="60"/>
              <w:right w:type="dxa" w:w="120"/>
            </w:tcMar>
          </w:tcPr>
          <w:p>
            <w:r>
              <w:rPr>
                <w:rFonts w:ascii="Calibri" w:eastAsia="Microsoft YaHei"/>
                <w:color w:val="1A2B40"/>
                <w:sz w:val="19"/>
                <w:szCs w:val="19"/>
              </w:rPr>
              <w:t xml:space="preserve">Public anti-counterfeit serial verification; also the module that manages the registry</w:t>
            </w:r>
          </w:p>
        </w:tc>
      </w:tr>
      <w:tr>
        <w:trPr>
          <w:cantSplit/>
        </w:trPr>
        <w:tc>
          <w:tcPr>
            <w:tcW w:type="dxa" w:w="2800"/>
            <w:shd w:fill="F4F8FC" w:val="clear"/>
            <w:tcMar>
              <w:top w:type="dxa" w:w="60"/>
              <w:left w:type="dxa" w:w="120"/>
              <w:bottom w:type="dxa" w:w="60"/>
              <w:right w:type="dxa" w:w="120"/>
            </w:tcMar>
          </w:tcPr>
          <w:p>
            <w:r>
              <w:rPr>
                <w:rFonts w:ascii="Calibri" w:eastAsia="Microsoft YaHei"/>
                <w:color w:val="1A2B40"/>
                <w:sz w:val="19"/>
                <w:szCs w:val="19"/>
              </w:rPr>
              <w:t xml:space="preserve">Speed-to-lead</w:t>
            </w:r>
          </w:p>
        </w:tc>
        <w:tc>
          <w:tcPr>
            <w:tcW w:type="dxa" w:w="6200"/>
            <w:shd w:fill="F4F8FC" w:val="clear"/>
            <w:tcMar>
              <w:top w:type="dxa" w:w="60"/>
              <w:left w:type="dxa" w:w="120"/>
              <w:bottom w:type="dxa" w:w="60"/>
              <w:right w:type="dxa" w:w="120"/>
            </w:tcMar>
          </w:tcPr>
          <w:p>
            <w:r>
              <w:rPr>
                <w:rFonts w:ascii="Calibri" w:eastAsia="Microsoft YaHei"/>
                <w:color w:val="1A2B40"/>
                <w:sz w:val="19"/>
                <w:szCs w:val="19"/>
              </w:rPr>
              <w:t xml:space="preserve">Time from lead arrival to first staff reply — the primary conversion KPI</w:t>
            </w:r>
          </w:p>
        </w:tc>
      </w:tr>
      <w:tr>
        <w:trPr>
          <w:cantSplit/>
        </w:trPr>
        <w:tc>
          <w:tcPr>
            <w:tcW w:type="dxa" w:w="2800"/>
            <w:shd w:fill="FFFFFF" w:val="clear"/>
            <w:tcMar>
              <w:top w:type="dxa" w:w="60"/>
              <w:left w:type="dxa" w:w="120"/>
              <w:bottom w:type="dxa" w:w="60"/>
              <w:right w:type="dxa" w:w="120"/>
            </w:tcMar>
          </w:tcPr>
          <w:p>
            <w:r>
              <w:rPr>
                <w:rFonts w:ascii="Calibri" w:eastAsia="Microsoft YaHei"/>
                <w:color w:val="1A2B40"/>
                <w:sz w:val="19"/>
                <w:szCs w:val="19"/>
              </w:rPr>
              <w:t xml:space="preserve">Stakeholders: Webmaster / Engineer</w:t>
            </w:r>
          </w:p>
        </w:tc>
        <w:tc>
          <w:tcPr>
            <w:tcW w:type="dxa" w:w="6200"/>
            <w:shd w:fill="FFFFFF" w:val="clear"/>
            <w:tcMar>
              <w:top w:type="dxa" w:w="60"/>
              <w:left w:type="dxa" w:w="120"/>
              <w:bottom w:type="dxa" w:w="60"/>
              <w:right w:type="dxa" w:w="120"/>
            </w:tcMar>
          </w:tcPr>
          <w:p>
            <w:r>
              <w:rPr>
                <w:rFonts w:ascii="Calibri" w:eastAsia="Microsoft YaHei"/>
                <w:color w:val="1A2B40"/>
                <w:sz w:val="19"/>
                <w:szCs w:val="19"/>
              </w:rPr>
              <w:t xml:space="preserve">Content-and-support operator vs deploy-and-operate engineer — the two audiences of this manual</w:t>
            </w:r>
          </w:p>
        </w:tc>
      </w:tr>
    </w:tbl>
    <w:p>
      <w:pPr>
        <w:spacing w:after="120"/>
      </w:pPr>
    </w:p>
    <w:p>
      <w:pPr>
        <w:pStyle w:val="Heading2"/>
        <w:spacing w:after="120" w:before="300"/>
      </w:pPr>
      <w:bookmarkStart w:id="100078" w:name="_Toc100078"/>
      <w:r>
        <w:rPr>
          <w:rFonts w:ascii="Calibri" w:eastAsia="SimHei"/>
          <w:b/>
          <w:bCs/>
          <w:color w:val="0A1628"/>
          <w:sz w:val="28"/>
          <w:szCs w:val="28"/>
        </w:rPr>
        <w:t xml:space="preserve">10.5 Appendix E — File Manifest (Deployment-Critical)</w:t>
      </w:r>
      <w:bookmarkEnd w:id="100078"/>
    </w:p>
    <w:tbl>
      <w:tblPr>
        <w:tblW w:type="dxa" w:w="9200"/>
        <w:tblBorders>
          <w:top w:val="single" w:color="D5DDE7" w:sz="4"/>
          <w:left w:val="single" w:color="D5DDE7" w:sz="4"/>
          <w:bottom w:val="single" w:color="D5DDE7" w:sz="4"/>
          <w:right w:val="single" w:color="D5DDE7" w:sz="4"/>
          <w:insideH w:val="single" w:color="E6EBF1" w:sz="2"/>
          <w:insideV w:val="single" w:color="E6EBF1" w:sz="2"/>
        </w:tblBorders>
        <w:tblLayout w:type="fixed"/>
      </w:tblPr>
      <w:tblGrid>
        <w:gridCol w:w="3900"/>
        <w:gridCol w:w="5100"/>
      </w:tblGrid>
      <w:tr>
        <w:trPr>
          <w:cantSplit/>
          <w:tblHeader/>
        </w:trPr>
        <w:tc>
          <w:tcPr>
            <w:tcW w:type="dxa" w:w="3900"/>
            <w:shd w:fill="0A1628" w:val="clear"/>
            <w:tcMar>
              <w:top w:type="dxa" w:w="80"/>
              <w:left w:type="dxa" w:w="120"/>
              <w:bottom w:type="dxa" w:w="80"/>
              <w:right w:type="dxa" w:w="120"/>
            </w:tcMar>
            <w:vAlign w:val="center"/>
          </w:tcPr>
          <w:p>
            <w:r>
              <w:rPr>
                <w:rFonts w:ascii="Calibri" w:eastAsia="Microsoft YaHei"/>
                <w:b/>
                <w:bCs/>
                <w:color w:val="FFFFFF"/>
                <w:sz w:val="19"/>
                <w:szCs w:val="19"/>
              </w:rPr>
              <w:t xml:space="preserve">Path</w:t>
            </w:r>
          </w:p>
        </w:tc>
        <w:tc>
          <w:tcPr>
            <w:tcW w:type="dxa" w:w="5100"/>
            <w:shd w:fill="0A1628" w:val="clear"/>
            <w:tcMar>
              <w:top w:type="dxa" w:w="80"/>
              <w:left w:type="dxa" w:w="120"/>
              <w:bottom w:type="dxa" w:w="80"/>
              <w:right w:type="dxa" w:w="120"/>
            </w:tcMar>
            <w:vAlign w:val="center"/>
          </w:tcPr>
          <w:p>
            <w:r>
              <w:rPr>
                <w:rFonts w:ascii="Calibri" w:eastAsia="Microsoft YaHei"/>
                <w:b/>
                <w:bCs/>
                <w:color w:val="FFFFFF"/>
                <w:sz w:val="19"/>
                <w:szCs w:val="19"/>
              </w:rPr>
              <w:t xml:space="preserve">Purpose</w:t>
            </w:r>
          </w:p>
        </w:tc>
      </w:tr>
      <w:tr>
        <w:trPr>
          <w:cantSplit/>
        </w:trPr>
        <w:tc>
          <w:tcPr>
            <w:tcW w:type="dxa" w:w="3900"/>
            <w:shd w:fill="FFFFFF" w:val="clear"/>
            <w:tcMar>
              <w:top w:type="dxa" w:w="60"/>
              <w:left w:type="dxa" w:w="120"/>
              <w:bottom w:type="dxa" w:w="60"/>
              <w:right w:type="dxa" w:w="120"/>
            </w:tcMar>
          </w:tcPr>
          <w:p>
            <w:r>
              <w:rPr>
                <w:rFonts w:ascii="Calibri" w:eastAsia="Microsoft YaHei"/>
                <w:color w:val="1A2B40"/>
                <w:sz w:val="19"/>
                <w:szCs w:val="19"/>
              </w:rPr>
              <w:t xml:space="preserve">deploy/nginx/twinmos.conf</w:t>
            </w:r>
          </w:p>
        </w:tc>
        <w:tc>
          <w:tcPr>
            <w:tcW w:type="dxa" w:w="5100"/>
            <w:shd w:fill="FFFFFF" w:val="clear"/>
            <w:tcMar>
              <w:top w:type="dxa" w:w="60"/>
              <w:left w:type="dxa" w:w="120"/>
              <w:bottom w:type="dxa" w:w="60"/>
              <w:right w:type="dxa" w:w="120"/>
            </w:tcMar>
          </w:tcPr>
          <w:p>
            <w:r>
              <w:rPr>
                <w:rFonts w:ascii="Calibri" w:eastAsia="Microsoft YaHei"/>
                <w:color w:val="1A2B40"/>
                <w:sz w:val="19"/>
                <w:szCs w:val="19"/>
              </w:rPr>
              <w:t xml:space="preserve">One-origin edge config: static web, admin SPA, /api proxy, headers, caching</w:t>
            </w:r>
          </w:p>
        </w:tc>
      </w:tr>
      <w:tr>
        <w:trPr>
          <w:cantSplit/>
        </w:trPr>
        <w:tc>
          <w:tcPr>
            <w:tcW w:type="dxa" w:w="3900"/>
            <w:shd w:fill="F4F8FC" w:val="clear"/>
            <w:tcMar>
              <w:top w:type="dxa" w:w="60"/>
              <w:left w:type="dxa" w:w="120"/>
              <w:bottom w:type="dxa" w:w="60"/>
              <w:right w:type="dxa" w:w="120"/>
            </w:tcMar>
          </w:tcPr>
          <w:p>
            <w:r>
              <w:rPr>
                <w:rFonts w:ascii="Calibri" w:eastAsia="Microsoft YaHei"/>
                <w:color w:val="1A2B40"/>
                <w:sz w:val="19"/>
                <w:szCs w:val="19"/>
              </w:rPr>
              <w:t xml:space="preserve">deploy/systemd/twinmos-api.service</w:t>
            </w:r>
          </w:p>
        </w:tc>
        <w:tc>
          <w:tcPr>
            <w:tcW w:type="dxa" w:w="5100"/>
            <w:shd w:fill="F4F8FC" w:val="clear"/>
            <w:tcMar>
              <w:top w:type="dxa" w:w="60"/>
              <w:left w:type="dxa" w:w="120"/>
              <w:bottom w:type="dxa" w:w="60"/>
              <w:right w:type="dxa" w:w="120"/>
            </w:tcMar>
          </w:tcPr>
          <w:p>
            <w:r>
              <w:rPr>
                <w:rFonts w:ascii="Calibri" w:eastAsia="Microsoft YaHei"/>
                <w:color w:val="1A2B40"/>
                <w:sz w:val="19"/>
                <w:szCs w:val="19"/>
              </w:rPr>
              <w:t xml:space="preserve">Hardened service unit with EnvironmentFile</w:t>
            </w:r>
          </w:p>
        </w:tc>
      </w:tr>
      <w:tr>
        <w:trPr>
          <w:cantSplit/>
        </w:trPr>
        <w:tc>
          <w:tcPr>
            <w:tcW w:type="dxa" w:w="3900"/>
            <w:shd w:fill="FFFFFF" w:val="clear"/>
            <w:tcMar>
              <w:top w:type="dxa" w:w="60"/>
              <w:left w:type="dxa" w:w="120"/>
              <w:bottom w:type="dxa" w:w="60"/>
              <w:right w:type="dxa" w:w="120"/>
            </w:tcMar>
          </w:tcPr>
          <w:p>
            <w:r>
              <w:rPr>
                <w:rFonts w:ascii="Calibri" w:eastAsia="Microsoft YaHei"/>
                <w:color w:val="1A2B40"/>
                <w:sz w:val="19"/>
                <w:szCs w:val="19"/>
              </w:rPr>
              <w:t xml:space="preserve">deploy/backup.sh / restore.sh</w:t>
            </w:r>
          </w:p>
        </w:tc>
        <w:tc>
          <w:tcPr>
            <w:tcW w:type="dxa" w:w="5100"/>
            <w:shd w:fill="FFFFFF" w:val="clear"/>
            <w:tcMar>
              <w:top w:type="dxa" w:w="60"/>
              <w:left w:type="dxa" w:w="120"/>
              <w:bottom w:type="dxa" w:w="60"/>
              <w:right w:type="dxa" w:w="120"/>
            </w:tcMar>
          </w:tcPr>
          <w:p>
            <w:r>
              <w:rPr>
                <w:rFonts w:ascii="Calibri" w:eastAsia="Microsoft YaHei"/>
                <w:color w:val="1A2B40"/>
                <w:sz w:val="19"/>
                <w:szCs w:val="19"/>
              </w:rPr>
              <w:t xml:space="preserve">Nightly checksummed backups with rotation; stamped restore and --drill</w:t>
            </w:r>
          </w:p>
        </w:tc>
      </w:tr>
      <w:tr>
        <w:trPr>
          <w:cantSplit/>
        </w:trPr>
        <w:tc>
          <w:tcPr>
            <w:tcW w:type="dxa" w:w="3900"/>
            <w:shd w:fill="F4F8FC" w:val="clear"/>
            <w:tcMar>
              <w:top w:type="dxa" w:w="60"/>
              <w:left w:type="dxa" w:w="120"/>
              <w:bottom w:type="dxa" w:w="60"/>
              <w:right w:type="dxa" w:w="120"/>
            </w:tcMar>
          </w:tcPr>
          <w:p>
            <w:r>
              <w:rPr>
                <w:rFonts w:ascii="Calibri" w:eastAsia="Microsoft YaHei"/>
                <w:color w:val="1A2B40"/>
                <w:sz w:val="19"/>
                <w:szCs w:val="19"/>
              </w:rPr>
              <w:t xml:space="preserve">.env.production.example</w:t>
            </w:r>
          </w:p>
        </w:tc>
        <w:tc>
          <w:tcPr>
            <w:tcW w:type="dxa" w:w="5100"/>
            <w:shd w:fill="F4F8FC" w:val="clear"/>
            <w:tcMar>
              <w:top w:type="dxa" w:w="60"/>
              <w:left w:type="dxa" w:w="120"/>
              <w:bottom w:type="dxa" w:w="60"/>
              <w:right w:type="dxa" w:w="120"/>
            </w:tcMar>
          </w:tcPr>
          <w:p>
            <w:r>
              <w:rPr>
                <w:rFonts w:ascii="Calibri" w:eastAsia="Microsoft YaHei"/>
                <w:color w:val="1A2B40"/>
                <w:sz w:val="19"/>
                <w:szCs w:val="19"/>
              </w:rPr>
              <w:t xml:space="preserve">Every production variable documented; secrets only from the store</w:t>
            </w:r>
          </w:p>
        </w:tc>
      </w:tr>
      <w:tr>
        <w:trPr>
          <w:cantSplit/>
        </w:trPr>
        <w:tc>
          <w:tcPr>
            <w:tcW w:type="dxa" w:w="3900"/>
            <w:shd w:fill="FFFFFF" w:val="clear"/>
            <w:tcMar>
              <w:top w:type="dxa" w:w="60"/>
              <w:left w:type="dxa" w:w="120"/>
              <w:bottom w:type="dxa" w:w="60"/>
              <w:right w:type="dxa" w:w="120"/>
            </w:tcMar>
          </w:tcPr>
          <w:p>
            <w:r>
              <w:rPr>
                <w:rFonts w:ascii="Calibri" w:eastAsia="Microsoft YaHei"/>
                <w:color w:val="1A2B40"/>
                <w:sz w:val="19"/>
                <w:szCs w:val="19"/>
              </w:rPr>
              <w:t xml:space="preserve">apps/api/scripts/{migrate,seed,reset}.ts</w:t>
            </w:r>
          </w:p>
        </w:tc>
        <w:tc>
          <w:tcPr>
            <w:tcW w:type="dxa" w:w="5100"/>
            <w:shd w:fill="FFFFFF" w:val="clear"/>
            <w:tcMar>
              <w:top w:type="dxa" w:w="60"/>
              <w:left w:type="dxa" w:w="120"/>
              <w:bottom w:type="dxa" w:w="60"/>
              <w:right w:type="dxa" w:w="120"/>
            </w:tcMar>
          </w:tcPr>
          <w:p>
            <w:r>
              <w:rPr>
                <w:rFonts w:ascii="Calibri" w:eastAsia="Microsoft YaHei"/>
                <w:color w:val="1A2B40"/>
                <w:sz w:val="19"/>
                <w:szCs w:val="19"/>
              </w:rPr>
              <w:t xml:space="preserve">Database lifecycle scripts</w:t>
            </w:r>
          </w:p>
        </w:tc>
      </w:tr>
      <w:tr>
        <w:trPr>
          <w:cantSplit/>
        </w:trPr>
        <w:tc>
          <w:tcPr>
            <w:tcW w:type="dxa" w:w="3900"/>
            <w:shd w:fill="F4F8FC" w:val="clear"/>
            <w:tcMar>
              <w:top w:type="dxa" w:w="60"/>
              <w:left w:type="dxa" w:w="120"/>
              <w:bottom w:type="dxa" w:w="60"/>
              <w:right w:type="dxa" w:w="120"/>
            </w:tcMar>
          </w:tcPr>
          <w:p>
            <w:r>
              <w:rPr>
                <w:rFonts w:ascii="Calibri" w:eastAsia="Microsoft YaHei"/>
                <w:color w:val="1A2B40"/>
                <w:sz w:val="19"/>
                <w:szCs w:val="19"/>
              </w:rPr>
              <w:t xml:space="preserve">tooling/export-content.mjs</w:t>
            </w:r>
          </w:p>
        </w:tc>
        <w:tc>
          <w:tcPr>
            <w:tcW w:type="dxa" w:w="5100"/>
            <w:shd w:fill="F4F8FC" w:val="clear"/>
            <w:tcMar>
              <w:top w:type="dxa" w:w="60"/>
              <w:left w:type="dxa" w:w="120"/>
              <w:bottom w:type="dxa" w:w="60"/>
              <w:right w:type="dxa" w:w="120"/>
            </w:tcMar>
          </w:tcPr>
          <w:p>
            <w:r>
              <w:rPr>
                <w:rFonts w:ascii="Calibri" w:eastAsia="Microsoft YaHei"/>
                <w:color w:val="1A2B40"/>
                <w:sz w:val="19"/>
                <w:szCs w:val="19"/>
              </w:rPr>
              <w:t xml:space="preserve">The CMS export bridge (regenerates cms-content.js)</w:t>
            </w:r>
          </w:p>
        </w:tc>
      </w:tr>
      <w:tr>
        <w:trPr>
          <w:cantSplit/>
        </w:trPr>
        <w:tc>
          <w:tcPr>
            <w:tcW w:type="dxa" w:w="3900"/>
            <w:shd w:fill="FFFFFF" w:val="clear"/>
            <w:tcMar>
              <w:top w:type="dxa" w:w="60"/>
              <w:left w:type="dxa" w:w="120"/>
              <w:bottom w:type="dxa" w:w="60"/>
              <w:right w:type="dxa" w:w="120"/>
            </w:tcMar>
          </w:tcPr>
          <w:p>
            <w:r>
              <w:rPr>
                <w:rFonts w:ascii="Calibri" w:eastAsia="Microsoft YaHei"/>
                <w:color w:val="1A2B40"/>
                <w:sz w:val="19"/>
                <w:szCs w:val="19"/>
              </w:rPr>
              <w:t xml:space="preserve">tooling/owasp-local-scan.mjs</w:t>
            </w:r>
          </w:p>
        </w:tc>
        <w:tc>
          <w:tcPr>
            <w:tcW w:type="dxa" w:w="5100"/>
            <w:shd w:fill="FFFFFF" w:val="clear"/>
            <w:tcMar>
              <w:top w:type="dxa" w:w="60"/>
              <w:left w:type="dxa" w:w="120"/>
              <w:bottom w:type="dxa" w:w="60"/>
              <w:right w:type="dxa" w:w="120"/>
            </w:tcMar>
          </w:tcPr>
          <w:p>
            <w:r>
              <w:rPr>
                <w:rFonts w:ascii="Calibri" w:eastAsia="Microsoft YaHei"/>
                <w:color w:val="1A2B40"/>
                <w:sz w:val="19"/>
                <w:szCs w:val="19"/>
              </w:rPr>
              <w:t xml:space="preserve">Executable ZAP-baseline equivalent (14 check classes)</w:t>
            </w:r>
          </w:p>
        </w:tc>
      </w:tr>
      <w:tr>
        <w:trPr>
          <w:cantSplit/>
        </w:trPr>
        <w:tc>
          <w:tcPr>
            <w:tcW w:type="dxa" w:w="3900"/>
            <w:shd w:fill="F4F8FC" w:val="clear"/>
            <w:tcMar>
              <w:top w:type="dxa" w:w="60"/>
              <w:left w:type="dxa" w:w="120"/>
              <w:bottom w:type="dxa" w:w="60"/>
              <w:right w:type="dxa" w:w="120"/>
            </w:tcMar>
          </w:tcPr>
          <w:p>
            <w:r>
              <w:rPr>
                <w:rFonts w:ascii="Calibri" w:eastAsia="Microsoft YaHei"/>
                <w:color w:val="1A2B40"/>
                <w:sz w:val="19"/>
                <w:szCs w:val="19"/>
              </w:rPr>
              <w:t xml:space="preserve">tooling/dr-drill.mjs</w:t>
            </w:r>
          </w:p>
        </w:tc>
        <w:tc>
          <w:tcPr>
            <w:tcW w:type="dxa" w:w="5100"/>
            <w:shd w:fill="F4F8FC" w:val="clear"/>
            <w:tcMar>
              <w:top w:type="dxa" w:w="60"/>
              <w:left w:type="dxa" w:w="120"/>
              <w:bottom w:type="dxa" w:w="60"/>
              <w:right w:type="dxa" w:w="120"/>
            </w:tcMar>
          </w:tcPr>
          <w:p>
            <w:r>
              <w:rPr>
                <w:rFonts w:ascii="Calibri" w:eastAsia="Microsoft YaHei"/>
                <w:color w:val="1A2B40"/>
                <w:sz w:val="19"/>
                <w:szCs w:val="19"/>
              </w:rPr>
              <w:t xml:space="preserve">Full-stack DR drill: rebuild, verify counts, boot, probe</w:t>
            </w:r>
          </w:p>
        </w:tc>
      </w:tr>
      <w:tr>
        <w:trPr>
          <w:cantSplit/>
        </w:trPr>
        <w:tc>
          <w:tcPr>
            <w:tcW w:type="dxa" w:w="3900"/>
            <w:shd w:fill="FFFFFF" w:val="clear"/>
            <w:tcMar>
              <w:top w:type="dxa" w:w="60"/>
              <w:left w:type="dxa" w:w="120"/>
              <w:bottom w:type="dxa" w:w="60"/>
              <w:right w:type="dxa" w:w="120"/>
            </w:tcMar>
          </w:tcPr>
          <w:p>
            <w:r>
              <w:rPr>
                <w:rFonts w:ascii="Calibri" w:eastAsia="Microsoft YaHei"/>
                <w:color w:val="1A2B40"/>
                <w:sz w:val="19"/>
                <w:szCs w:val="19"/>
              </w:rPr>
              <w:t xml:space="preserve">docs/runbooks/{DEPLOY,DR,HYPERCARE}.md</w:t>
            </w:r>
          </w:p>
        </w:tc>
        <w:tc>
          <w:tcPr>
            <w:tcW w:type="dxa" w:w="5100"/>
            <w:shd w:fill="FFFFFF" w:val="clear"/>
            <w:tcMar>
              <w:top w:type="dxa" w:w="60"/>
              <w:left w:type="dxa" w:w="120"/>
              <w:bottom w:type="dxa" w:w="60"/>
              <w:right w:type="dxa" w:w="120"/>
            </w:tcMar>
          </w:tcPr>
          <w:p>
            <w:r>
              <w:rPr>
                <w:rFonts w:ascii="Calibri" w:eastAsia="Microsoft YaHei"/>
                <w:color w:val="1A2B40"/>
                <w:sz w:val="19"/>
                <w:szCs w:val="19"/>
              </w:rPr>
              <w:t xml:space="preserve">Operational runbooks of record</w:t>
            </w:r>
          </w:p>
        </w:tc>
      </w:tr>
    </w:tbl>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Microsoft YaHei"/>
        <w:color w:val="6878A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Microsoft YaHei"/>
        <w:color w:val="6878A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DE7" w:sz="2" w:space="4"/>
      </w:pBdr>
      <w:jc w:val="right"/>
    </w:pPr>
    <w:r>
      <w:rPr>
        <w:rFonts w:ascii="Calibri" w:eastAsia="Microsoft YaHei"/>
        <w:color w:val="6878A0"/>
        <w:sz w:val="16"/>
        <w:szCs w:val="16"/>
      </w:rPr>
      <w:t xml:space="preserve">TwinMOS Platform — Technical Documentation &amp; Administrator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DE7" w:sz="2" w:space="4"/>
      </w:pBdr>
      <w:jc w:val="right"/>
    </w:pPr>
    <w:r>
      <w:rPr>
        <w:rFonts w:ascii="Calibri" w:eastAsia="Microsoft YaHei"/>
        <w:color w:val="6878A0"/>
        <w:sz w:val="16"/>
        <w:szCs w:val="16"/>
      </w:rPr>
      <w:t xml:space="preserve">TwinMOS Platform — Technical Documentation &amp; Administrator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60"/>
      </w:pPr>
    </w:lvl>
  </w:abstractNum>
  <w:abstractNum w:abstractNumId="3" w15:restartNumberingAfterBreak="0">
    <w:multiLevelType w:val="hybridMultilevel"/>
    <w:lvl w:ilvl="0" w:tentative="1">
      <w:start w:val="1"/>
      <w:numFmt w:val="bullet"/>
      <w:lvlText w:val="•"/>
      <w:lvlJc w:val="left"/>
      <w:pPr>
        <w:ind w:left="460" w:hanging="260"/>
      </w:pPr>
    </w:lvl>
  </w:abstractNum>
  <w:abstractNum w:abstractNumId="4" w15:restartNumberingAfterBreak="0">
    <w:multiLevelType w:val="hybridMultilevel"/>
    <w:lvl w:ilvl="0" w:tentative="1">
      <w:start w:val="1"/>
      <w:numFmt w:val="bullet"/>
      <w:lvlText w:val="•"/>
      <w:lvlJc w:val="left"/>
      <w:pPr>
        <w:ind w:left="460" w:hanging="260"/>
      </w:pPr>
    </w:lvl>
  </w:abstractNum>
  <w:abstractNum w:abstractNumId="5" w15:restartNumberingAfterBreak="0">
    <w:multiLevelType w:val="hybridMultilevel"/>
    <w:lvl w:ilvl="0" w:tentative="1">
      <w:start w:val="1"/>
      <w:numFmt w:val="bullet"/>
      <w:lvlText w:val="•"/>
      <w:lvlJc w:val="left"/>
      <w:pPr>
        <w:ind w:left="460" w:hanging="260"/>
      </w:pPr>
    </w:lvl>
  </w:abstractNum>
  <w:abstractNum w:abstractNumId="6" w15:restartNumberingAfterBreak="0">
    <w:multiLevelType w:val="hybridMultilevel"/>
    <w:lvl w:ilvl="0" w:tentative="1">
      <w:start w:val="1"/>
      <w:numFmt w:val="bullet"/>
      <w:lvlText w:val="•"/>
      <w:lvlJc w:val="left"/>
      <w:pPr>
        <w:ind w:left="460" w:hanging="260"/>
      </w:pPr>
    </w:lvl>
  </w:abstractNum>
  <w:abstractNum w:abstractNumId="7" w15:restartNumberingAfterBreak="0">
    <w:multiLevelType w:val="hybridMultilevel"/>
    <w:lvl w:ilvl="0" w:tentative="1">
      <w:start w:val="1"/>
      <w:numFmt w:val="bullet"/>
      <w:lvlText w:val="•"/>
      <w:lvlJc w:val="left"/>
      <w:pPr>
        <w:ind w:left="460" w:hanging="260"/>
      </w:pPr>
    </w:lvl>
  </w:abstractNum>
  <w:abstractNum w:abstractNumId="8" w15:restartNumberingAfterBreak="0">
    <w:multiLevelType w:val="hybridMultilevel"/>
    <w:lvl w:ilvl="0" w:tentative="1">
      <w:start w:val="1"/>
      <w:numFmt w:val="bullet"/>
      <w:lvlText w:val="•"/>
      <w:lvlJc w:val="left"/>
      <w:pPr>
        <w:ind w:left="460" w:hanging="260"/>
      </w:pPr>
    </w:lvl>
  </w:abstractNum>
  <w:abstractNum w:abstractNumId="9" w15:restartNumberingAfterBreak="0">
    <w:multiLevelType w:val="hybridMultilevel"/>
    <w:lvl w:ilvl="0" w:tentative="1">
      <w:start w:val="1"/>
      <w:numFmt w:val="bullet"/>
      <w:lvlText w:val="•"/>
      <w:lvlJc w:val="left"/>
      <w:pPr>
        <w:ind w:left="460" w:hanging="260"/>
      </w:pPr>
    </w:lvl>
  </w:abstractNum>
  <w:abstractNum w:abstractNumId="10" w15:restartNumberingAfterBreak="0">
    <w:multiLevelType w:val="hybridMultilevel"/>
    <w:lvl w:ilvl="0" w:tentative="1">
      <w:start w:val="1"/>
      <w:numFmt w:val="bullet"/>
      <w:lvlText w:val="•"/>
      <w:lvlJc w:val="left"/>
      <w:pPr>
        <w:ind w:left="460" w:hanging="260"/>
      </w:pPr>
    </w:lvl>
  </w:abstractNum>
  <w:abstractNum w:abstractNumId="11" w15:restartNumberingAfterBreak="0">
    <w:multiLevelType w:val="hybridMultilevel"/>
    <w:lvl w:ilvl="0" w:tentative="1">
      <w:start w:val="1"/>
      <w:numFmt w:val="bullet"/>
      <w:lvlText w:val="•"/>
      <w:lvlJc w:val="left"/>
      <w:pPr>
        <w:ind w:left="460" w:hanging="260"/>
      </w:pPr>
    </w:lvl>
  </w:abstractNum>
  <w:abstractNum w:abstractNumId="12" w15:restartNumberingAfterBreak="0">
    <w:multiLevelType w:val="hybridMultilevel"/>
    <w:lvl w:ilvl="0" w:tentative="1">
      <w:start w:val="1"/>
      <w:numFmt w:val="bullet"/>
      <w:lvlText w:val="•"/>
      <w:lvlJc w:val="left"/>
      <w:pPr>
        <w:ind w:left="460" w:hanging="260"/>
      </w:pPr>
    </w:lvl>
  </w:abstractNum>
  <w:abstractNum w:abstractNumId="13" w15:restartNumberingAfterBreak="0">
    <w:multiLevelType w:val="hybridMultilevel"/>
    <w:lvl w:ilvl="0" w:tentative="1">
      <w:start w:val="1"/>
      <w:numFmt w:val="bullet"/>
      <w:lvlText w:val="•"/>
      <w:lvlJc w:val="left"/>
      <w:pPr>
        <w:ind w:left="460" w:hanging="260"/>
      </w:pPr>
    </w:lvl>
  </w:abstractNum>
  <w:abstractNum w:abstractNumId="14" w15:restartNumberingAfterBreak="0">
    <w:multiLevelType w:val="hybridMultilevel"/>
    <w:lvl w:ilvl="0" w:tentative="1">
      <w:start w:val="1"/>
      <w:numFmt w:val="decimal"/>
      <w:lvlText w:val="%1."/>
      <w:lvlJc w:val="left"/>
      <w:pPr>
        <w:ind w:left="460" w:hanging="300"/>
      </w:pPr>
      <w:rPr>
        <w:b/>
        <w:bCs/>
        <w:color w:val="0E9F7E"/>
      </w:rPr>
    </w:lvl>
  </w:abstractNum>
  <w:abstractNum w:abstractNumId="15" w15:restartNumberingAfterBreak="0">
    <w:multiLevelType w:val="hybridMultilevel"/>
    <w:lvl w:ilvl="0" w:tentative="1">
      <w:start w:val="1"/>
      <w:numFmt w:val="decimal"/>
      <w:lvlText w:val="%1."/>
      <w:lvlJc w:val="left"/>
      <w:pPr>
        <w:ind w:left="460" w:hanging="300"/>
      </w:pPr>
      <w:rPr>
        <w:b/>
        <w:bCs/>
        <w:color w:val="0E9F7E"/>
      </w:rPr>
    </w:lvl>
  </w:abstractNum>
  <w:abstractNum w:abstractNumId="16" w15:restartNumberingAfterBreak="0">
    <w:multiLevelType w:val="hybridMultilevel"/>
    <w:lvl w:ilvl="0" w:tentative="1">
      <w:start w:val="1"/>
      <w:numFmt w:val="decimal"/>
      <w:lvlText w:val="%1."/>
      <w:lvlJc w:val="left"/>
      <w:pPr>
        <w:ind w:left="460" w:hanging="300"/>
      </w:pPr>
      <w:rPr>
        <w:b/>
        <w:bCs/>
        <w:color w:val="0E9F7E"/>
      </w:rPr>
    </w:lvl>
  </w:abstractNum>
  <w:abstractNum w:abstractNumId="17" w15:restartNumberingAfterBreak="0">
    <w:multiLevelType w:val="hybridMultilevel"/>
    <w:lvl w:ilvl="0" w:tentative="1">
      <w:start w:val="1"/>
      <w:numFmt w:val="decimal"/>
      <w:lvlText w:val="%1."/>
      <w:lvlJc w:val="left"/>
      <w:pPr>
        <w:ind w:left="460" w:hanging="300"/>
      </w:pPr>
      <w:rPr>
        <w:b/>
        <w:bCs/>
        <w:color w:val="0E9F7E"/>
      </w:rPr>
    </w:lvl>
  </w:abstractNum>
  <w:abstractNum w:abstractNumId="18" w15:restartNumberingAfterBreak="0">
    <w:multiLevelType w:val="hybridMultilevel"/>
    <w:lvl w:ilvl="0" w:tentative="1">
      <w:start w:val="1"/>
      <w:numFmt w:val="decimal"/>
      <w:lvlText w:val="%1."/>
      <w:lvlJc w:val="left"/>
      <w:pPr>
        <w:ind w:left="460" w:hanging="300"/>
      </w:pPr>
      <w:rPr>
        <w:b/>
        <w:bCs/>
        <w:color w:val="0E9F7E"/>
      </w:rPr>
    </w:lvl>
  </w:abstractNum>
  <w:abstractNum w:abstractNumId="19" w15:restartNumberingAfterBreak="0">
    <w:multiLevelType w:val="hybridMultilevel"/>
    <w:lvl w:ilvl="0" w:tentative="1">
      <w:start w:val="1"/>
      <w:numFmt w:val="decimal"/>
      <w:lvlText w:val="%1."/>
      <w:lvlJc w:val="left"/>
      <w:pPr>
        <w:ind w:left="460" w:hanging="300"/>
      </w:pPr>
      <w:rPr>
        <w:b/>
        <w:bCs/>
        <w:color w:val="0E9F7E"/>
      </w:rPr>
    </w:lvl>
  </w:abstractNum>
  <w:abstractNum w:abstractNumId="20" w15:restartNumberingAfterBreak="0">
    <w:multiLevelType w:val="hybridMultilevel"/>
    <w:lvl w:ilvl="0" w:tentative="1">
      <w:start w:val="1"/>
      <w:numFmt w:val="decimal"/>
      <w:lvlText w:val="%1."/>
      <w:lvlJc w:val="left"/>
      <w:pPr>
        <w:ind w:left="460" w:hanging="300"/>
      </w:pPr>
      <w:rPr>
        <w:b/>
        <w:bCs/>
        <w:color w:val="0E9F7E"/>
      </w:rPr>
    </w:lvl>
  </w:abstractNum>
  <w:abstractNum w:abstractNumId="21" w15:restartNumberingAfterBreak="0">
    <w:multiLevelType w:val="hybridMultilevel"/>
    <w:lvl w:ilvl="0" w:tentative="1">
      <w:start w:val="1"/>
      <w:numFmt w:val="decimal"/>
      <w:lvlText w:val="%1."/>
      <w:lvlJc w:val="left"/>
      <w:pPr>
        <w:ind w:left="460" w:hanging="300"/>
      </w:pPr>
      <w:rPr>
        <w:b/>
        <w:bCs/>
        <w:color w:val="0E9F7E"/>
      </w:rPr>
    </w:lvl>
  </w:abstractNum>
  <w:abstractNum w:abstractNumId="22" w15:restartNumberingAfterBreak="0">
    <w:multiLevelType w:val="hybridMultilevel"/>
    <w:lvl w:ilvl="0" w:tentative="1">
      <w:start w:val="1"/>
      <w:numFmt w:val="decimal"/>
      <w:lvlText w:val="%1."/>
      <w:lvlJc w:val="left"/>
      <w:pPr>
        <w:ind w:left="460" w:hanging="300"/>
      </w:pPr>
      <w:rPr>
        <w:b/>
        <w:bCs/>
        <w:color w:val="0E9F7E"/>
      </w:rPr>
    </w:lvl>
  </w:abstractNum>
  <w:abstractNum w:abstractNumId="23" w15:restartNumberingAfterBreak="0">
    <w:multiLevelType w:val="hybridMultilevel"/>
    <w:lvl w:ilvl="0" w:tentative="1">
      <w:start w:val="1"/>
      <w:numFmt w:val="decimal"/>
      <w:lvlText w:val="%1."/>
      <w:lvlJc w:val="left"/>
      <w:pPr>
        <w:ind w:left="460" w:hanging="300"/>
      </w:pPr>
      <w:rPr>
        <w:b/>
        <w:bCs/>
        <w:color w:val="0E9F7E"/>
      </w:rPr>
    </w:lvl>
  </w:abstractNum>
  <w:abstractNum w:abstractNumId="24" w15:restartNumberingAfterBreak="0">
    <w:multiLevelType w:val="hybridMultilevel"/>
    <w:lvl w:ilvl="0" w:tentative="1">
      <w:start w:val="1"/>
      <w:numFmt w:val="decimal"/>
      <w:lvlText w:val="%1."/>
      <w:lvlJc w:val="left"/>
      <w:pPr>
        <w:ind w:left="460" w:hanging="300"/>
      </w:pPr>
      <w:rPr>
        <w:b/>
        <w:bCs/>
        <w:color w:val="0E9F7E"/>
      </w:rPr>
    </w:lvl>
  </w:abstractNum>
  <w:abstractNum w:abstractNumId="25" w15:restartNumberingAfterBreak="0">
    <w:multiLevelType w:val="hybridMultilevel"/>
    <w:lvl w:ilvl="0" w:tentative="1">
      <w:start w:val="1"/>
      <w:numFmt w:val="decimal"/>
      <w:lvlText w:val="%1."/>
      <w:lvlJc w:val="left"/>
      <w:pPr>
        <w:ind w:left="460" w:hanging="300"/>
      </w:pPr>
      <w:rPr>
        <w:b/>
        <w:bCs/>
        <w:color w:val="0E9F7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14"/>
    <w:lvlOverride w:ilvl="0">
      <w:startOverride w:val="1"/>
    </w:lvlOverride>
  </w:num>
  <w:num w:numId="6">
    <w:abstractNumId w:val="5"/>
    <w:lvlOverride w:ilvl="0">
      <w:startOverride w:val="1"/>
    </w:lvlOverride>
  </w:num>
  <w:num w:numId="7">
    <w:abstractNumId w:val="6"/>
    <w:lvlOverride w:ilvl="0">
      <w:startOverride w:val="1"/>
    </w:lvlOverride>
  </w:num>
  <w:num w:numId="8">
    <w:abstractNumId w:val="15"/>
    <w:lvlOverride w:ilvl="0">
      <w:startOverride w:val="1"/>
    </w:lvlOverride>
  </w:num>
  <w:num w:numId="9">
    <w:abstractNumId w:val="16"/>
    <w:lvlOverride w:ilvl="0">
      <w:startOverride w:val="1"/>
    </w:lvlOverride>
  </w:num>
  <w:num w:numId="10">
    <w:abstractNumId w:val="17"/>
    <w:lvlOverride w:ilvl="0">
      <w:startOverride w:val="1"/>
    </w:lvlOverride>
  </w:num>
  <w:num w:numId="11">
    <w:abstractNumId w:val="18"/>
    <w:lvlOverride w:ilvl="0">
      <w:startOverride w:val="1"/>
    </w:lvlOverride>
  </w:num>
  <w:num w:numId="12">
    <w:abstractNumId w:val="19"/>
    <w:lvlOverride w:ilvl="0">
      <w:startOverride w:val="1"/>
    </w:lvlOverride>
  </w:num>
  <w:num w:numId="13">
    <w:abstractNumId w:val="20"/>
    <w:lvlOverride w:ilvl="0">
      <w:startOverride w:val="1"/>
    </w:lvlOverride>
  </w:num>
  <w:num w:numId="14">
    <w:abstractNumId w:val="7"/>
    <w:lvlOverride w:ilvl="0">
      <w:startOverride w:val="1"/>
    </w:lvlOverride>
  </w:num>
  <w:num w:numId="15">
    <w:abstractNumId w:val="21"/>
    <w:lvlOverride w:ilvl="0">
      <w:startOverride w:val="1"/>
    </w:lvlOverride>
  </w:num>
  <w:num w:numId="16">
    <w:abstractNumId w:val="8"/>
    <w:lvlOverride w:ilvl="0">
      <w:startOverride w:val="1"/>
    </w:lvlOverride>
  </w:num>
  <w:num w:numId="17">
    <w:abstractNumId w:val="9"/>
    <w:lvlOverride w:ilvl="0">
      <w:startOverride w:val="1"/>
    </w:lvlOverride>
  </w:num>
  <w:num w:numId="18">
    <w:abstractNumId w:val="22"/>
    <w:lvlOverride w:ilvl="0">
      <w:startOverride w:val="1"/>
    </w:lvlOverride>
  </w:num>
  <w:num w:numId="19">
    <w:abstractNumId w:val="23"/>
    <w:lvlOverride w:ilvl="0">
      <w:startOverride w:val="1"/>
    </w:lvlOverride>
  </w:num>
  <w:num w:numId="20">
    <w:abstractNumId w:val="24"/>
    <w:lvlOverride w:ilvl="0">
      <w:startOverride w:val="1"/>
    </w:lvlOverride>
  </w:num>
  <w:num w:numId="21">
    <w:abstractNumId w:val="25"/>
    <w:lvlOverride w:ilvl="0">
      <w:startOverride w:val="1"/>
    </w:lvlOverride>
  </w:num>
  <w:num w:numId="22">
    <w:abstractNumId w:val="10"/>
    <w:lvlOverride w:ilvl="0">
      <w:startOverride w:val="1"/>
    </w:lvlOverride>
  </w:num>
  <w:num w:numId="23">
    <w:abstractNumId w:val="11"/>
    <w:lvlOverride w:ilvl="0">
      <w:startOverride w:val="1"/>
    </w:lvlOverride>
  </w:num>
  <w:num w:numId="24">
    <w:abstractNumId w:val="12"/>
    <w:lvlOverride w:ilvl="0">
      <w:startOverride w:val="1"/>
    </w:lvlOverride>
  </w:num>
  <w:num w:numId="25">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2"/>
        <w:szCs w:val="22"/>
      </w:rPr>
    </w:rPrDefault>
    <w:pPrDefault>
      <w:pPr>
        <w:spacing w:line="312"/>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pPr>
      <w:outlineLvl w:val="0"/>
    </w:pPr>
    <w:name w:val="Heading 1"/>
    <w:basedOn w:val="Normal"/>
    <w:next w:val="Normal"/>
    <w:qFormat/>
    <w:rPr>
      <w:rFonts w:ascii="Calibri" w:eastAsia="SimHei"/>
      <w:b/>
      <w:bCs/>
      <w:color w:val="0A1628"/>
      <w:sz w:val="34"/>
      <w:szCs w:val="34"/>
    </w:rPr>
  </w:style>
  <w:style w:type="paragraph" w:styleId="Heading2">
    <w:pPr>
      <w:outlineLvl w:val="1"/>
    </w:pPr>
    <w:name w:val="Heading 2"/>
    <w:basedOn w:val="Normal"/>
    <w:next w:val="Normal"/>
    <w:qFormat/>
    <w:rPr>
      <w:rFonts w:ascii="Calibri" w:eastAsia="SimHei"/>
      <w:b/>
      <w:bCs/>
      <w:color w:val="0A1628"/>
      <w:sz w:val="28"/>
      <w:szCs w:val="28"/>
    </w:rPr>
  </w:style>
  <w:style w:type="paragraph" w:styleId="Heading3">
    <w:pPr>
      <w:outlineLvl w:val="2"/>
    </w:pPr>
    <w:name w:val="Heading 3"/>
    <w:basedOn w:val="Normal"/>
    <w:next w:val="Normal"/>
    <w:qFormat/>
    <w:rPr>
      <w:rFonts w:ascii="Calibri" w:eastAsia="SimHei"/>
      <w:b/>
      <w:bCs/>
      <w:color w:val="1A2B4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08d5f716f367de450eab193730fd0fcf01fe8d47.png"/><Relationship Id="rId12" Type="http://schemas.openxmlformats.org/officeDocument/2006/relationships/image" Target="media/1768f7796d9ce0d75f98dbcecd8fb2a91af186ba.png"/><Relationship Id="rId13" Type="http://schemas.openxmlformats.org/officeDocument/2006/relationships/image" Target="media/bf0ef959561c394e451af7c5ad70562d6c157c6a.png"/><Relationship Id="rId14" Type="http://schemas.openxmlformats.org/officeDocument/2006/relationships/image" Target="media/0d881bdeabca96ab872240772b840b9d9d37d684.png"/><Relationship Id="rId15" Type="http://schemas.openxmlformats.org/officeDocument/2006/relationships/image" Target="media/0e224a8921a9a3194a9f230a12d5b15fc83bfd20.png"/><Relationship Id="rId16" Type="http://schemas.openxmlformats.org/officeDocument/2006/relationships/image" Target="media/a1979c8819d22eacbb95b941cddb7c6ec6ab544e.png"/><Relationship Id="rId17" Type="http://schemas.openxmlformats.org/officeDocument/2006/relationships/image" Target="media/824e849149a2ad4052884746758874392acf4ddf.png"/><Relationship Id="rId18" Type="http://schemas.openxmlformats.org/officeDocument/2006/relationships/image" Target="media/8c1977fdd05202c9ba0811a31cd40cbeb80805b4.png"/><Relationship Id="rId19" Type="http://schemas.openxmlformats.org/officeDocument/2006/relationships/image" Target="media/c8d7922e91f40ef96d6477709b5e5c9c6accc69c.png"/><Relationship Id="rId20" Type="http://schemas.openxmlformats.org/officeDocument/2006/relationships/image" Target="media/aa88d8c68beb6e7414da0cf5af181d7afa66cbbc.png"/><Relationship Id="rId21" Type="http://schemas.openxmlformats.org/officeDocument/2006/relationships/image" Target="media/80b2bac1ebf0c7fc2ec1f3655cdb59744a0d4cfa.png"/><Relationship Id="rId22" Type="http://schemas.openxmlformats.org/officeDocument/2006/relationships/image" Target="media/2ab6ac0036edc0ade9579183c2cd296e1980605a.png"/><Relationship Id="rId23" Type="http://schemas.openxmlformats.org/officeDocument/2006/relationships/image" Target="media/0ea65ebb8e2cd17af8c3bcc13ef120a2849579d2.png"/><Relationship Id="rId24" Type="http://schemas.openxmlformats.org/officeDocument/2006/relationships/image" Target="media/a126d933ff648047798feb57d01ff810a6a2ab99.png"/><Relationship Id="rId25" Type="http://schemas.openxmlformats.org/officeDocument/2006/relationships/image" Target="media/a98c4447ddd888f800ac9ab5ea67394c8607720d.png"/><Relationship Id="rId26" Type="http://schemas.openxmlformats.org/officeDocument/2006/relationships/image" Target="media/109e77b71d0c8395a58078ee09d7cf8d40508eea.png"/><Relationship Id="rId27" Type="http://schemas.openxmlformats.org/officeDocument/2006/relationships/image" Target="media/47ac9f3ae30d5159c7f4ef60f6be04bcb4a3acd0.png"/><Relationship Id="rId28" Type="http://schemas.openxmlformats.org/officeDocument/2006/relationships/image" Target="media/62562bdf67fddbe89a24b934ccbba499876039f8.png"/><Relationship Id="rId29" Type="http://schemas.openxmlformats.org/officeDocument/2006/relationships/image" Target="media/45913644c9c662f835b9dbafdef95afd384a357c.png"/><Relationship Id="rId30" Type="http://schemas.openxmlformats.org/officeDocument/2006/relationships/image" Target="media/d7524c11160e3f12f7ce20d9ed742dd1bd548ba0.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TwinMOS Platform — Technical Documentation &amp; Administrator Guide</dc:title>
  <dc:creator>TwinMOS Engineering</dc:creator>
  <dc:description>Comprehensive user guide for webmasters and software engineers: system overview, technology stack, admin/CMS module workflows, and cloud deployment runbook.</dc:description>
  <cp:lastModifiedBy>Un-named</cp:lastModifiedBy>
  <cp:revision>1</cp:revision>
  <dcterms:created xsi:type="dcterms:W3CDTF">2026-10-02T05:22:51.315Z</dcterms:created>
  <dcterms:modified xsi:type="dcterms:W3CDTF">2026-10-02T05:22:51.316Z</dcterms:modified>
</cp:coreProperties>
</file>

<file path=docProps/custom.xml><?xml version="1.0" encoding="utf-8"?>
<Properties xmlns="http://schemas.openxmlformats.org/officeDocument/2006/custom-properties" xmlns:vt="http://schemas.openxmlformats.org/officeDocument/2006/docPropsVTypes"/>
</file>