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DOC-02-TS-07: Payment Gateway Webhook Storms &amp; Double-Posting Reconciliation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webhook_storms_duplicate_posting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[backend_engineer, sre, treasury_officer]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DOC-02-TS-07: Payment Gateway Webhook Storms &amp; Double-Posting Reconciliation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High-frequency repayment notifications received from external payment aggregators.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borrower_p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MFS Digital Repayment Channel &amp; Gateway Webhook Receiver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High-frequency repayment notifications received from external payment aggregators.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Payment Gateway Webhook Storms &amp; Double-Posting Diagnostics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Troubleshooting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DOC-01-ARCH-03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com.uslbd.ulms.integration.rails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When an MFS rail (bKash/Nagad) experiences upstream latency, its notification engine may retry payment webhook delivery dozens of times within seconds. Without strict idempotency, this causes: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Duplicate loan installment credits to the same account.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Over-collection leading to negative outstanding balances.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Thread starvation on </w:t>
      </w:r>
      <w:r>
        <w:rPr>
          <w:rFonts w:ascii="Consolas" w:hAnsi="Consolas"/>
          <w:color w:val="801515"/>
          <w:sz w:val="18"/>
        </w:rPr>
        <w:t>POST /api/v1/loans/payments/reconcile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Invariant Protection Machinery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guarantees zero duplicate credits via database-level unique constraints in 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Unique constraint preventing duplicate processing of external transaction IDs</w:t>
              <w:br/>
              <w:t xml:space="preserve">ALTER TABLE ulms.payment </w:t>
              <w:br/>
              <w:t>ADD CONSTRAINT uk_payment_external_tx_ref UNIQUE (payment_rail, external_tx_ref);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When a duplicate webhook hits the controller: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Consolas" w:hAnsi="Consolas"/>
          <w:color w:val="801515"/>
          <w:sz w:val="18"/>
        </w:rPr>
        <w:t>RailWebhookHandler</w:t>
      </w:r>
      <w:r>
        <w:rPr>
          <w:rFonts w:ascii="Segoe UI" w:hAnsi="Segoe UI"/>
          <w:color w:val="2D3748"/>
          <w:sz w:val="19"/>
        </w:rPr>
        <w:t xml:space="preserve"> checks existence of </w:t>
      </w:r>
      <w:r>
        <w:rPr>
          <w:rFonts w:ascii="Consolas" w:hAnsi="Consolas"/>
          <w:color w:val="801515"/>
          <w:sz w:val="18"/>
        </w:rPr>
        <w:t>external_tx_ref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2. Verify the HMAC signature (ULMS_RAILS_WEBHOOK_SECRET) and timestamp drift BEFORE any response — reject invalid signatures with 401. If valid and already processed, respond with HTTP 200 OK (so the rail ceases retries) without re-executing ledger posting.</w:t>
      </w:r>
      <w:r>
        <w:rPr>
          <w:rFonts w:ascii="Segoe UI" w:hAnsi="Segoe UI"/>
          <w:color w:val="2D3748"/>
          <w:sz w:val="19"/>
        </w:rPr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If concurrent requests arrive simultaneously, the second transaction is aborted with a PostgreSQL unique violation and gracefully swallowed.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Discrepancy Resolution Protocol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Accurate installment credit and fee allocation with zero duplicate ledger postings.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Loan Servicing Ledger Reconciled Following Webhook Ingestion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Accurate installment credit and fee allocation with zero duplicate ledger postings.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 upstream gateway sends conflicting amounts under the same transaction ID: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Lock affected account temporarily: </w:t>
      </w:r>
      <w:r>
        <w:rPr>
          <w:rFonts w:ascii="Consolas" w:hAnsi="Consolas"/>
          <w:color w:val="801515"/>
          <w:sz w:val="18"/>
        </w:rPr>
        <w:t>-- no locked column on ulms.loan; serialize via SELECT ... FOR UPDATE on the loan row plus the idempotency_key table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Inspect payment rail logs: </w:t>
      </w:r>
      <w:r>
        <w:rPr>
          <w:rFonts w:ascii="Consolas" w:hAnsi="Consolas"/>
          <w:color w:val="801515"/>
          <w:sz w:val="18"/>
        </w:rPr>
        <w:t>SELECT * FROM ulms.payment WHERE external_tx_ref = :ref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Run treasury adjustment journal voucher via </w:t>
      </w:r>
      <w:r>
        <w:rPr>
          <w:rFonts w:ascii="Consolas" w:hAnsi="Consolas"/>
          <w:color w:val="801515"/>
          <w:sz w:val="18"/>
        </w:rPr>
        <w:t>FineractJournalPort</w:t>
      </w:r>
      <w:r>
        <w:rPr>
          <w:rFonts w:ascii="Segoe UI" w:hAnsi="Segoe UI"/>
          <w:color w:val="2D3748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Webhook Endpoint Specification &amp; Idempotency Key Protection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RFC 9457 contract specifications enforcing unique external transaction reference locks.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webhook handling now verifies the HMAC signature and timestamp drift before any 200 ACK (the verifier fails closed when ULMS_RAILS_WEBHOOK_SECRET is unset); the nonexistent ulms.loan.locked column replaced with row-level locking via SELECT ... FOR UPDATE + the idempotency_key table. The POST /api/v1/loans/payments/reconcile route cited here is the contract-verified canonical (per the corpus audit GAP-05 alignment).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