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03 MAINTENANCE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DOC-03-MNT-06: Historical Data Archival, Range Partitioning &amp; Regulatory Record Retention Specification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DOC-03-MNT-06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reference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historical_data_archival_partitioning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[dba, compliance_officer, data_architect]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DOC-03-MNT-06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DOC-03-MNT-06: Historical Data Archival, Range Partitioning &amp; Regulatory Record Retention Specification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High-density database table partitioning separating active from historical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5_customer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Partitioned Customer &amp; Loan Relational Table Master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High-density database table partitioning separating active from historical records.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Data Archival, Partitioning &amp; Record Retention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Statutory Architecture &amp; Database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Bank Company Act 1991 §27 → BB ICT Security Guidelines V4.0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Statutory Retention Mandates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Transparent query performance across partitioned loan_transaction historical partitions.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loan36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Active vs Archived Loan Transaction Ledger View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Transparent query performance across partitioned loan_transaction historical partitions.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The </w:t>
      </w:r>
      <w:r>
        <w:rPr>
          <w:rFonts w:ascii="Segoe UI" w:hAnsi="Segoe UI"/>
          <w:b/>
          <w:color w:val="2D3748"/>
          <w:sz w:val="19"/>
        </w:rPr>
        <w:t>Bank Company Act 1991</w:t>
      </w:r>
      <w:r>
        <w:rPr>
          <w:rFonts w:ascii="Segoe UI" w:hAnsi="Segoe UI"/>
          <w:color w:val="2D3748"/>
          <w:sz w:val="19"/>
        </w:rPr>
        <w:t xml:space="preserve"> requires commercial banks to maintain loan accounting ledgers and borrower KYC records for </w:t>
      </w:r>
      <w:r>
        <w:rPr>
          <w:rFonts w:ascii="Segoe UI" w:hAnsi="Segoe UI"/>
          <w:b/>
          <w:color w:val="2D3748"/>
          <w:sz w:val="19"/>
        </w:rPr>
        <w:t>12 years</w:t>
      </w:r>
      <w:r>
        <w:rPr>
          <w:rFonts w:ascii="Segoe UI" w:hAnsi="Segoe UI"/>
          <w:color w:val="2D3748"/>
          <w:sz w:val="19"/>
        </w:rPr>
        <w:t xml:space="preserve"> following loan account closure. Active transactional databases cannot scale linearly over 12 years without partitioning.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PostgreSQL Declarative Table Partitioning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High-volume tables (ulms.payment_transaction and ulms.audit_entry) are partitioned by date:</w:t>
      </w:r>
      <w:r>
        <w:rPr>
          <w:rFonts w:ascii="Consolas" w:hAnsi="Consolas"/>
          <w:color w:val="801515"/>
          <w:sz w:val="18"/>
        </w:rPr>
      </w:r>
      <w:r>
        <w:rPr>
          <w:rFonts w:ascii="Segoe UI" w:hAnsi="Segoe UI"/>
          <w:color w:val="2D3748"/>
          <w:sz w:val="19"/>
        </w:rPr>
      </w:r>
      <w:r>
        <w:rPr>
          <w:rFonts w:ascii="Consolas" w:hAnsi="Consolas"/>
          <w:color w:val="801515"/>
          <w:sz w:val="18"/>
        </w:rPr>
      </w:r>
      <w:r>
        <w:rPr>
          <w:rFonts w:ascii="Segoe UI" w:hAnsi="Segoe UI"/>
          <w:color w:val="2D3748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sql</w:t>
              <w:br/>
              <w:t>CREATE TABLE ulms.payment_y2026m10 PARTITION OF ulms.payment_transaction</w:t>
              <w:br/>
              <w:t xml:space="preserve">    FOR VALUES FROM ('2026-10-01 00:00:00+06') TO ('2026-11-01 00:00:00+06');</w:t>
            </w:r>
            <w:r>
              <w:rPr>
                <w:rFonts w:ascii="Consolas" w:hAnsi="Consolas"/>
                <w:color w:val="1A202C"/>
                <w:sz w:val="17"/>
              </w:rPr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Cold Storage Migration to WORM Storage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Fast query access across cold archived records for external Bangladesh Bank audits.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repor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Historical Regulatory Returns &amp; Archival Data Browser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Fast query access across cold archived records for external Bangladesh Bank audits.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Partitions older than 36 months are exported to Apache Parquet format and stored in </w:t>
      </w:r>
      <w:r>
        <w:rPr>
          <w:rFonts w:ascii="Segoe UI" w:hAnsi="Segoe UI"/>
          <w:b/>
          <w:color w:val="2D3748"/>
          <w:sz w:val="19"/>
        </w:rPr>
        <w:t>MinIO WORM (Write Once Read Many)</w:t>
      </w:r>
      <w:r>
        <w:rPr>
          <w:rFonts w:ascii="Segoe UI" w:hAnsi="Segoe UI"/>
          <w:color w:val="2D3748"/>
          <w:sz w:val="19"/>
        </w:rPr>
        <w:t xml:space="preserve"> object storage with strict object locks, ensuring non-mutability and saving expensive SSD storage.</w:t>
      </w:r>
    </w:p>
    <w:p>
      <w:r>
        <w:rPr>
          <w:b/>
        </w:rPr>
        <w:t>Addendum — v3.1.0 corrections (Independent Forensic Re-audit, 8 October 2026)</w:t>
      </w:r>
    </w:p>
    <w:p>
      <w:r>
        <w:t>Corrections (v3.1.0): high-volume archival table name corrected to ulms.payment_transaction (the printed ulms.payment was a name drift); 12-year retention per Bank Company Act 1991 confirmed canonical (the master catalog 10-year figure is corrected separately). Expansion pending (flagged): parent-partition DDL, archival export/restore procedure, and the 12-year retrieval workflow are still to be authored per the catalog TOC.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DOC-03-MNT-06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