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rFonts w:ascii="Arial" w:cs="Arial" w:eastAsia="Arial" w:hAnsi="Arial"/>
          <w:b/>
          <w:bCs/>
          <w:color w:val="1F4E79"/>
          <w:sz w:val="48"/>
          <w:szCs w:val="48"/>
        </w:rPr>
        <w:t xml:space="preserve">REQUEST FOR PROPOSAL (RFP)</w:t>
      </w:r>
    </w:p>
    <w:p>
      <w:pPr>
        <w:spacing w:after="400"/>
        <w:jc w:val="center"/>
      </w:pPr>
      <w:r>
        <w:rPr>
          <w:rFonts w:ascii="Arial" w:cs="Arial" w:eastAsia="Arial" w:hAnsi="Arial"/>
          <w:b/>
          <w:bCs/>
          <w:color w:val="404040"/>
          <w:sz w:val="28"/>
          <w:szCs w:val="28"/>
        </w:rPr>
        <w:t xml:space="preserve">FOR</w:t>
      </w:r>
    </w:p>
    <w:p>
      <w:pPr>
        <w:spacing w:after="200"/>
        <w:jc w:val="center"/>
      </w:pPr>
      <w:r>
        <w:rPr>
          <w:rFonts w:ascii="Arial" w:cs="Arial" w:eastAsia="Arial" w:hAnsi="Arial"/>
          <w:b/>
          <w:bCs/>
          <w:color w:val="1F4E79"/>
          <w:sz w:val="40"/>
          <w:szCs w:val="40"/>
        </w:rPr>
        <w:t xml:space="preserve">COMPREHENSIVE LOAN MANAGEMENT SYSTEM (LMS)</w:t>
      </w:r>
    </w:p>
    <w:p>
      <w:pPr>
        <w:spacing w:after="600"/>
        <w:jc w:val="center"/>
      </w:pPr>
      <w:r>
        <w:rPr>
          <w:rFonts w:ascii="Arial" w:cs="Arial" w:eastAsia="Arial" w:hAnsi="Arial"/>
          <w:color w:val="2E75B6"/>
          <w:sz w:val="28"/>
          <w:szCs w:val="28"/>
        </w:rPr>
        <w:t xml:space="preserve">End-to-End Digital Lending Platform</w:t>
      </w:r>
    </w:p>
    <w:p>
      <w:pPr>
        <w:spacing w:after="100"/>
        <w:jc w:val="center"/>
      </w:pPr>
      <w:r>
        <w:rPr>
          <w:rFonts w:ascii="Arial" w:cs="Arial" w:eastAsia="Arial" w:hAnsi="Arial"/>
          <w:sz w:val="24"/>
          <w:szCs w:val="24"/>
        </w:rPr>
        <w:t xml:space="preserve">Targeting</w:t>
      </w:r>
    </w:p>
    <w:p>
      <w:pPr>
        <w:spacing w:after="600"/>
        <w:jc w:val="center"/>
      </w:pPr>
      <w:r>
        <w:rPr>
          <w:rFonts w:ascii="Arial" w:cs="Arial" w:eastAsia="Arial" w:hAnsi="Arial"/>
          <w:b/>
          <w:bCs/>
          <w:color w:val="1F4E79"/>
          <w:sz w:val="32"/>
          <w:szCs w:val="32"/>
        </w:rPr>
        <w:t xml:space="preserve">SCHEDULED COMMERCIAL BANKS OF BANGLADESH</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999999" w:sz="1"/>
              <w:left w:val="single" w:color="999999" w:sz="1"/>
              <w:bottom w:val="single" w:color="999999" w:sz="1"/>
              <w:right w:val="single" w:color="999999" w:sz="1"/>
            </w:tcBorders>
            <w:shd w:fill="F2F2F2" w:val="clear"/>
            <w:tcMar>
              <w:top w:type="dxa" w:w="100"/>
              <w:left w:type="dxa" w:w="120"/>
              <w:bottom w:type="dxa" w:w="100"/>
              <w:right w:type="dxa" w:w="120"/>
            </w:tcMar>
          </w:tcPr>
          <w:p>
            <w:r>
              <w:rPr>
                <w:rFonts w:ascii="Arial" w:cs="Arial" w:eastAsia="Arial" w:hAnsi="Arial"/>
                <w:b/>
                <w:bCs/>
                <w:sz w:val="20"/>
                <w:szCs w:val="20"/>
              </w:rPr>
              <w:t xml:space="preserve">RFP Reference No:</w:t>
            </w:r>
          </w:p>
        </w:tc>
        <w:tc>
          <w:tcPr>
            <w:tcW w:type="dxa" w:w="2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LMS-BD-2026-001</w:t>
            </w:r>
          </w:p>
        </w:tc>
      </w:tr>
      <w:tr>
        <w:tc>
          <w:tcPr>
            <w:tcW w:type="dxa" w:w="2800"/>
            <w:tcBorders>
              <w:top w:val="single" w:color="999999" w:sz="1"/>
              <w:left w:val="single" w:color="999999" w:sz="1"/>
              <w:bottom w:val="single" w:color="999999" w:sz="1"/>
              <w:right w:val="single" w:color="999999" w:sz="1"/>
            </w:tcBorders>
            <w:shd w:fill="F2F2F2" w:val="clear"/>
            <w:tcMar>
              <w:top w:type="dxa" w:w="100"/>
              <w:left w:type="dxa" w:w="120"/>
              <w:bottom w:type="dxa" w:w="100"/>
              <w:right w:type="dxa" w:w="120"/>
            </w:tcMar>
          </w:tcPr>
          <w:p>
            <w:r>
              <w:rPr>
                <w:rFonts w:ascii="Arial" w:cs="Arial" w:eastAsia="Arial" w:hAnsi="Arial"/>
                <w:b/>
                <w:bCs/>
                <w:sz w:val="20"/>
                <w:szCs w:val="20"/>
              </w:rPr>
              <w:t xml:space="preserve">Issue Date:</w:t>
            </w:r>
          </w:p>
        </w:tc>
        <w:tc>
          <w:tcPr>
            <w:tcW w:type="dxa" w:w="2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January 2026</w:t>
            </w:r>
          </w:p>
        </w:tc>
      </w:tr>
      <w:tr>
        <w:tc>
          <w:tcPr>
            <w:tcW w:type="dxa" w:w="2800"/>
            <w:tcBorders>
              <w:top w:val="single" w:color="999999" w:sz="1"/>
              <w:left w:val="single" w:color="999999" w:sz="1"/>
              <w:bottom w:val="single" w:color="999999" w:sz="1"/>
              <w:right w:val="single" w:color="999999" w:sz="1"/>
            </w:tcBorders>
            <w:shd w:fill="F2F2F2" w:val="clear"/>
            <w:tcMar>
              <w:top w:type="dxa" w:w="100"/>
              <w:left w:type="dxa" w:w="120"/>
              <w:bottom w:type="dxa" w:w="100"/>
              <w:right w:type="dxa" w:w="120"/>
            </w:tcMar>
          </w:tcPr>
          <w:p>
            <w:r>
              <w:rPr>
                <w:rFonts w:ascii="Arial" w:cs="Arial" w:eastAsia="Arial" w:hAnsi="Arial"/>
                <w:b/>
                <w:bCs/>
                <w:sz w:val="20"/>
                <w:szCs w:val="20"/>
              </w:rPr>
              <w:t xml:space="preserve">Version:</w:t>
            </w:r>
          </w:p>
        </w:tc>
        <w:tc>
          <w:tcPr>
            <w:tcW w:type="dxa" w:w="2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1.0</w:t>
            </w:r>
          </w:p>
        </w:tc>
      </w:tr>
    </w:tbl>
    <w:p>
      <w:pPr>
        <w:spacing w:after="600"/>
      </w:pPr>
    </w:p>
    <w:p>
      <w:pPr>
        <w:jc w:val="center"/>
      </w:pPr>
      <w:r>
        <w:rPr>
          <w:rFonts w:ascii="Arial" w:cs="Arial" w:eastAsia="Arial" w:hAnsi="Arial"/>
          <w:i/>
          <w:iCs/>
          <w:color w:val="666666"/>
          <w:sz w:val="22"/>
          <w:szCs w:val="22"/>
        </w:rPr>
        <w:t xml:space="preserve">Compliant with Bangladesh Bank Regulations</w:t>
      </w:r>
    </w:p>
    <w:p>
      <w:pPr>
        <w:jc w:val="center"/>
      </w:pPr>
      <w:r>
        <w:rPr>
          <w:rFonts w:ascii="Arial" w:cs="Arial" w:eastAsia="Arial" w:hAnsi="Arial"/>
          <w:color w:val="666666"/>
          <w:sz w:val="20"/>
          <w:szCs w:val="20"/>
        </w:rPr>
        <w:t xml:space="preserve">Basel III | BFIU Guidelines | CIB Integration | e-KYC Compliant</w:t>
      </w:r>
    </w:p>
    <w:p>
      <w:r>
        <w:br w:type="page"/>
      </w:r>
    </w:p>
    <w:p>
      <w:pPr>
        <w:spacing w:after="400"/>
        <w:jc w:val="center"/>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EXECUTIVE SUMMARY</w:t>
      </w:r>
    </w:p>
    <w:p>
      <w:pPr>
        <w:pStyle w:val="Heading2"/>
        <w:spacing w:before="300" w:after="150"/>
      </w:pPr>
      <w:r>
        <w:rPr>
          <w:rFonts w:ascii="Arial" w:cs="Arial" w:eastAsia="Arial" w:hAnsi="Arial"/>
          <w:b/>
          <w:bCs/>
          <w:sz w:val="28"/>
          <w:szCs w:val="28"/>
        </w:rPr>
        <w:t xml:space="preserve">1.1 Purpose of RFP</w:t>
      </w:r>
    </w:p>
    <w:p>
      <w:pPr>
        <w:spacing w:after="120"/>
        <w:jc w:val="both"/>
      </w:pPr>
      <w:r>
        <w:rPr>
          <w:rFonts w:ascii="Arial" w:cs="Arial" w:eastAsia="Arial" w:hAnsi="Arial"/>
          <w:sz w:val="22"/>
          <w:szCs w:val="22"/>
        </w:rPr>
        <w:t xml:space="preserve">This Request for Proposal (RFP) is issued to invite qualified vendors to submit proposals for the design, development, implementation, and maintenance of a Comprehensive Loan Management System (LMS) tailored specifically for the Bangladesh banking sector. The solution must address the unique regulatory requirements of Bangladesh Bank, integrate seamlessly with existing Core Banking Systems (CBS), and support the digital transformation goals of Bangladesh's financial industry.</w:t>
      </w:r>
    </w:p>
    <w:p>
      <w:pPr>
        <w:pStyle w:val="Heading2"/>
        <w:spacing w:before="300" w:after="150"/>
      </w:pPr>
      <w:r>
        <w:rPr>
          <w:rFonts w:ascii="Arial" w:cs="Arial" w:eastAsia="Arial" w:hAnsi="Arial"/>
          <w:b/>
          <w:bCs/>
          <w:sz w:val="28"/>
          <w:szCs w:val="28"/>
        </w:rPr>
        <w:t xml:space="preserve">1.2 Market Context</w:t>
      </w:r>
    </w:p>
    <w:p>
      <w:pPr>
        <w:spacing w:after="120"/>
        <w:jc w:val="both"/>
      </w:pPr>
      <w:r>
        <w:rPr>
          <w:rFonts w:ascii="Arial" w:cs="Arial" w:eastAsia="Arial" w:hAnsi="Arial"/>
          <w:sz w:val="22"/>
          <w:szCs w:val="22"/>
        </w:rPr>
        <w:t xml:space="preserve">Bangladesh's banking sector comprises 62 scheduled banks including 6 State-Owned Commercial Banks (SOCBs), 3 Specialized Development Banks (SDBs), 43 Private Commercial Banks (PCBs including 10 Islamic banks), and 9 Foreign Commercial Banks (FCBs). The sector manages assets exceeding BDT 20 trillion and serves over 170 million people.</w:t>
      </w:r>
    </w:p>
    <w:p>
      <w:pPr>
        <w:spacing w:after="120"/>
        <w:jc w:val="both"/>
      </w:pPr>
      <w:r>
        <w:rPr>
          <w:rFonts w:ascii="Arial" w:cs="Arial" w:eastAsia="Arial" w:hAnsi="Arial"/>
          <w:sz w:val="22"/>
          <w:szCs w:val="22"/>
        </w:rPr>
        <w:t xml:space="preserve">With Bangladesh Bank's 2025-2027 digital finance reforms targeting 75% cashless transactions and the introduction of digital banking guidelines, there is an urgent need for modern, compliant loan management solutions that can support financial inclusion while maintaining robust risk management.</w:t>
      </w:r>
    </w:p>
    <w:p>
      <w:pPr>
        <w:pStyle w:val="Heading2"/>
        <w:spacing w:before="300" w:after="150"/>
      </w:pPr>
      <w:r>
        <w:rPr>
          <w:rFonts w:ascii="Arial" w:cs="Arial" w:eastAsia="Arial" w:hAnsi="Arial"/>
          <w:b/>
          <w:bCs/>
          <w:sz w:val="28"/>
          <w:szCs w:val="28"/>
        </w:rPr>
        <w:t xml:space="preserve">1.3 Key Objectives</w:t>
      </w:r>
    </w:p>
    <w:p>
      <w:pPr>
        <w:pStyle w:val="ListParagraph"/>
        <w:numPr>
          <w:ilvl w:val="0"/>
          <w:numId w:val="2"/>
        </w:numPr>
        <w:spacing w:after="80"/>
      </w:pPr>
      <w:r>
        <w:rPr>
          <w:rFonts w:ascii="Arial" w:cs="Arial" w:eastAsia="Arial" w:hAnsi="Arial"/>
          <w:sz w:val="22"/>
          <w:szCs w:val="22"/>
        </w:rPr>
        <w:t xml:space="preserve">Automate end-to-end loan lifecycle from origination to disbursement and collections</w:t>
      </w:r>
    </w:p>
    <w:p>
      <w:pPr>
        <w:pStyle w:val="ListParagraph"/>
        <w:numPr>
          <w:ilvl w:val="0"/>
          <w:numId w:val="2"/>
        </w:numPr>
        <w:spacing w:after="80"/>
      </w:pPr>
      <w:r>
        <w:rPr>
          <w:rFonts w:ascii="Arial" w:cs="Arial" w:eastAsia="Arial" w:hAnsi="Arial"/>
          <w:sz w:val="22"/>
          <w:szCs w:val="22"/>
        </w:rPr>
        <w:t xml:space="preserve">Ensure 100% compliance with Bangladesh Bank regulations, BFIU guidelines, and Basel III requirements</w:t>
      </w:r>
    </w:p>
    <w:p>
      <w:pPr>
        <w:pStyle w:val="ListParagraph"/>
        <w:numPr>
          <w:ilvl w:val="0"/>
          <w:numId w:val="2"/>
        </w:numPr>
        <w:spacing w:after="80"/>
      </w:pPr>
      <w:r>
        <w:rPr>
          <w:rFonts w:ascii="Arial" w:cs="Arial" w:eastAsia="Arial" w:hAnsi="Arial"/>
          <w:sz w:val="22"/>
          <w:szCs w:val="22"/>
        </w:rPr>
        <w:t xml:space="preserve">Integrate with Credit Information Bureau (CIB) for real-time credit verification</w:t>
      </w:r>
    </w:p>
    <w:p>
      <w:pPr>
        <w:pStyle w:val="ListParagraph"/>
        <w:numPr>
          <w:ilvl w:val="0"/>
          <w:numId w:val="2"/>
        </w:numPr>
        <w:spacing w:after="80"/>
      </w:pPr>
      <w:r>
        <w:rPr>
          <w:rFonts w:ascii="Arial" w:cs="Arial" w:eastAsia="Arial" w:hAnsi="Arial"/>
          <w:sz w:val="22"/>
          <w:szCs w:val="22"/>
        </w:rPr>
        <w:t xml:space="preserve">Support e-KYC and NID verification as per BFIU Circular requirements</w:t>
      </w:r>
    </w:p>
    <w:p>
      <w:pPr>
        <w:pStyle w:val="ListParagraph"/>
        <w:numPr>
          <w:ilvl w:val="0"/>
          <w:numId w:val="2"/>
        </w:numPr>
        <w:spacing w:after="80"/>
      </w:pPr>
      <w:r>
        <w:rPr>
          <w:rFonts w:ascii="Arial" w:cs="Arial" w:eastAsia="Arial" w:hAnsi="Arial"/>
          <w:sz w:val="22"/>
          <w:szCs w:val="22"/>
        </w:rPr>
        <w:t xml:space="preserve">Reduce loan processing time by at least 60% through workflow automation</w:t>
      </w:r>
    </w:p>
    <w:p>
      <w:pPr>
        <w:pStyle w:val="ListParagraph"/>
        <w:numPr>
          <w:ilvl w:val="0"/>
          <w:numId w:val="2"/>
        </w:numPr>
        <w:spacing w:after="80"/>
      </w:pPr>
      <w:r>
        <w:rPr>
          <w:rFonts w:ascii="Arial" w:cs="Arial" w:eastAsia="Arial" w:hAnsi="Arial"/>
          <w:sz w:val="22"/>
          <w:szCs w:val="22"/>
        </w:rPr>
        <w:t xml:space="preserve">Enable parallel processing of loan applications and documents</w:t>
      </w:r>
    </w:p>
    <w:p>
      <w:pPr>
        <w:pStyle w:val="ListParagraph"/>
        <w:numPr>
          <w:ilvl w:val="0"/>
          <w:numId w:val="2"/>
        </w:numPr>
        <w:spacing w:after="120"/>
      </w:pPr>
      <w:r>
        <w:rPr>
          <w:rFonts w:ascii="Arial" w:cs="Arial" w:eastAsia="Arial" w:hAnsi="Arial"/>
          <w:sz w:val="22"/>
          <w:szCs w:val="22"/>
        </w:rPr>
        <w:t xml:space="preserve">Support both conventional and Islamic (Shariah-compliant) banking products</w:t>
      </w:r>
    </w:p>
    <w:p>
      <w:r>
        <w:br w:type="page"/>
      </w:r>
    </w:p>
    <w:p>
      <w:pPr>
        <w:pStyle w:val="Heading1"/>
        <w:spacing w:before="400" w:after="200"/>
      </w:pPr>
      <w:r>
        <w:rPr>
          <w:rFonts w:ascii="Arial" w:cs="Arial" w:eastAsia="Arial" w:hAnsi="Arial"/>
          <w:b/>
          <w:bCs/>
          <w:sz w:val="32"/>
          <w:szCs w:val="32"/>
        </w:rPr>
        <w:t xml:space="preserve">2. PROBLEM STATEMENT AND BUSINESS DRIVERS</w:t>
      </w:r>
    </w:p>
    <w:p>
      <w:pPr>
        <w:pStyle w:val="Heading2"/>
        <w:spacing w:before="300" w:after="150"/>
      </w:pPr>
      <w:r>
        <w:rPr>
          <w:rFonts w:ascii="Arial" w:cs="Arial" w:eastAsia="Arial" w:hAnsi="Arial"/>
          <w:b/>
          <w:bCs/>
          <w:sz w:val="28"/>
          <w:szCs w:val="28"/>
        </w:rPr>
        <w:t xml:space="preserve">2.1 Current Challenges in Bangladesh Banking</w:t>
      </w:r>
    </w:p>
    <w:p>
      <w:pPr>
        <w:spacing w:after="120"/>
        <w:jc w:val="both"/>
      </w:pPr>
      <w:r>
        <w:rPr>
          <w:rFonts w:ascii="Arial" w:cs="Arial" w:eastAsia="Arial" w:hAnsi="Arial"/>
          <w:sz w:val="22"/>
          <w:szCs w:val="22"/>
        </w:rPr>
        <w:t xml:space="preserve">The Bangladesh banking sector faces several critical challenges in loan management that this RFP seeks to address:</w:t>
      </w:r>
    </w:p>
    <w:p>
      <w:pPr>
        <w:pStyle w:val="Heading3"/>
        <w:spacing w:before="200" w:after="100"/>
      </w:pPr>
      <w:r>
        <w:rPr>
          <w:rFonts w:ascii="Arial" w:cs="Arial" w:eastAsia="Arial" w:hAnsi="Arial"/>
          <w:b/>
          <w:bCs/>
          <w:sz w:val="24"/>
          <w:szCs w:val="24"/>
        </w:rPr>
        <w:t xml:space="preserve">2.1.1 Operational Inefficiencies</w:t>
      </w:r>
    </w:p>
    <w:p>
      <w:pPr>
        <w:pStyle w:val="ListParagraph"/>
        <w:numPr>
          <w:ilvl w:val="0"/>
          <w:numId w:val="2"/>
        </w:numPr>
        <w:spacing w:after="80"/>
      </w:pPr>
      <w:r>
        <w:rPr>
          <w:rFonts w:ascii="Arial" w:cs="Arial" w:eastAsia="Arial" w:hAnsi="Arial"/>
          <w:sz w:val="22"/>
          <w:szCs w:val="22"/>
        </w:rPr>
        <w:t xml:space="preserve">Manual loan origination, approval, and servicing causing delays of 15-30 days for standard loans</w:t>
      </w:r>
    </w:p>
    <w:p>
      <w:pPr>
        <w:pStyle w:val="ListParagraph"/>
        <w:numPr>
          <w:ilvl w:val="0"/>
          <w:numId w:val="2"/>
        </w:numPr>
        <w:spacing w:after="80"/>
      </w:pPr>
      <w:r>
        <w:rPr>
          <w:rFonts w:ascii="Arial" w:cs="Arial" w:eastAsia="Arial" w:hAnsi="Arial"/>
          <w:sz w:val="22"/>
          <w:szCs w:val="22"/>
        </w:rPr>
        <w:t xml:space="preserve">High error rates in data entry leading to compliance issues and customer dissatisfaction</w:t>
      </w:r>
    </w:p>
    <w:p>
      <w:pPr>
        <w:pStyle w:val="ListParagraph"/>
        <w:numPr>
          <w:ilvl w:val="0"/>
          <w:numId w:val="2"/>
        </w:numPr>
        <w:spacing w:after="80"/>
      </w:pPr>
      <w:r>
        <w:rPr>
          <w:rFonts w:ascii="Arial" w:cs="Arial" w:eastAsia="Arial" w:hAnsi="Arial"/>
          <w:sz w:val="22"/>
          <w:szCs w:val="22"/>
        </w:rPr>
        <w:t xml:space="preserve">Redundant data entry across multiple systems creating data inconsistencies</w:t>
      </w:r>
    </w:p>
    <w:p>
      <w:pPr>
        <w:pStyle w:val="ListParagraph"/>
        <w:numPr>
          <w:ilvl w:val="0"/>
          <w:numId w:val="2"/>
        </w:numPr>
        <w:spacing w:after="120"/>
      </w:pPr>
      <w:r>
        <w:rPr>
          <w:rFonts w:ascii="Arial" w:cs="Arial" w:eastAsia="Arial" w:hAnsi="Arial"/>
          <w:sz w:val="22"/>
          <w:szCs w:val="22"/>
        </w:rPr>
        <w:t xml:space="preserve">Lack of centralized document management resulting in lost or misplaced documents</w:t>
      </w:r>
    </w:p>
    <w:p>
      <w:pPr>
        <w:pStyle w:val="Heading3"/>
        <w:spacing w:before="200" w:after="100"/>
      </w:pPr>
      <w:r>
        <w:rPr>
          <w:rFonts w:ascii="Arial" w:cs="Arial" w:eastAsia="Arial" w:hAnsi="Arial"/>
          <w:b/>
          <w:bCs/>
          <w:sz w:val="24"/>
          <w:szCs w:val="24"/>
        </w:rPr>
        <w:t xml:space="preserve">2.1.2 Regulatory Compliance Burden</w:t>
      </w:r>
    </w:p>
    <w:p>
      <w:pPr>
        <w:pStyle w:val="ListParagraph"/>
        <w:numPr>
          <w:ilvl w:val="0"/>
          <w:numId w:val="2"/>
        </w:numPr>
        <w:spacing w:after="80"/>
      </w:pPr>
      <w:r>
        <w:rPr>
          <w:rFonts w:ascii="Arial" w:cs="Arial" w:eastAsia="Arial" w:hAnsi="Arial"/>
          <w:sz w:val="22"/>
          <w:szCs w:val="22"/>
        </w:rPr>
        <w:t xml:space="preserve">Difficulty in meeting Bangladesh Bank's evolving prudential regulations</w:t>
      </w:r>
    </w:p>
    <w:p>
      <w:pPr>
        <w:pStyle w:val="ListParagraph"/>
        <w:numPr>
          <w:ilvl w:val="0"/>
          <w:numId w:val="2"/>
        </w:numPr>
        <w:spacing w:after="80"/>
      </w:pPr>
      <w:r>
        <w:rPr>
          <w:rFonts w:ascii="Arial" w:cs="Arial" w:eastAsia="Arial" w:hAnsi="Arial"/>
          <w:sz w:val="22"/>
          <w:szCs w:val="22"/>
        </w:rPr>
        <w:t xml:space="preserve">Manual CIB verification process causing delays in loan approval</w:t>
      </w:r>
    </w:p>
    <w:p>
      <w:pPr>
        <w:pStyle w:val="ListParagraph"/>
        <w:numPr>
          <w:ilvl w:val="0"/>
          <w:numId w:val="2"/>
        </w:numPr>
        <w:spacing w:after="80"/>
      </w:pPr>
      <w:r>
        <w:rPr>
          <w:rFonts w:ascii="Arial" w:cs="Arial" w:eastAsia="Arial" w:hAnsi="Arial"/>
          <w:sz w:val="22"/>
          <w:szCs w:val="22"/>
        </w:rPr>
        <w:t xml:space="preserve">Inadequate AML/KYC compliance monitoring as per BFIU guidelines</w:t>
      </w:r>
    </w:p>
    <w:p>
      <w:pPr>
        <w:pStyle w:val="ListParagraph"/>
        <w:numPr>
          <w:ilvl w:val="0"/>
          <w:numId w:val="2"/>
        </w:numPr>
        <w:spacing w:after="120"/>
      </w:pPr>
      <w:r>
        <w:rPr>
          <w:rFonts w:ascii="Arial" w:cs="Arial" w:eastAsia="Arial" w:hAnsi="Arial"/>
          <w:sz w:val="22"/>
          <w:szCs w:val="22"/>
        </w:rPr>
        <w:t xml:space="preserve">Challenges in implementing IFRS-9 Expected Credit Loss (ECL) provisioning model</w:t>
      </w:r>
    </w:p>
    <w:p>
      <w:pPr>
        <w:pStyle w:val="Heading3"/>
        <w:spacing w:before="200" w:after="100"/>
      </w:pPr>
      <w:r>
        <w:rPr>
          <w:rFonts w:ascii="Arial" w:cs="Arial" w:eastAsia="Arial" w:hAnsi="Arial"/>
          <w:b/>
          <w:bCs/>
          <w:sz w:val="24"/>
          <w:szCs w:val="24"/>
        </w:rPr>
        <w:t xml:space="preserve">2.1.3 Non-Performing Loan (NPL) Crisis</w:t>
      </w:r>
    </w:p>
    <w:p>
      <w:pPr>
        <w:spacing w:after="120"/>
        <w:jc w:val="both"/>
      </w:pPr>
      <w:r>
        <w:rPr>
          <w:rFonts w:ascii="Arial" w:cs="Arial" w:eastAsia="Arial" w:hAnsi="Arial"/>
          <w:sz w:val="22"/>
          <w:szCs w:val="22"/>
        </w:rPr>
        <w:t xml:space="preserve">The banking sector faces an NPL ratio officially at 11% (unofficially estimated higher), requiring robust risk management systems and early warning mechanisms. The transition to IFRS-9 by December 2027 demands sophisticated loan classification and provisioning capabilities.</w:t>
      </w:r>
    </w:p>
    <w:p>
      <w:pPr>
        <w:pStyle w:val="Heading2"/>
        <w:spacing w:before="300" w:after="150"/>
      </w:pPr>
      <w:r>
        <w:rPr>
          <w:rFonts w:ascii="Arial" w:cs="Arial" w:eastAsia="Arial" w:hAnsi="Arial"/>
          <w:b/>
          <w:bCs/>
          <w:sz w:val="28"/>
          <w:szCs w:val="28"/>
        </w:rPr>
        <w:t xml:space="preserve">2.2 Business Drivers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62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Transformation</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Bangladesh Bank's 2025-2027 roadmap mandates digital-first operations with 75% cashless transactions by 2027</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Inclusion</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Extending formal credit to unbanked rural population, SMEs, and marginal sectors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Compliance</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 III capital adequacy, LCR, NSFR requirements, and Bank Resolution Ordinance 2025</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Management</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NPL reduction through automated early warning systems and credit scoring</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Experience</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Reduced loan processing time from weeks to days, transparent status tracking</w:t>
            </w:r>
          </w:p>
        </w:tc>
      </w:tr>
    </w:tbl>
    <w:p>
      <w:r>
        <w:br w:type="page"/>
      </w:r>
    </w:p>
    <w:p>
      <w:pPr>
        <w:pStyle w:val="Heading1"/>
        <w:spacing w:before="400" w:after="200"/>
      </w:pPr>
      <w:r>
        <w:rPr>
          <w:rFonts w:ascii="Arial" w:cs="Arial" w:eastAsia="Arial" w:hAnsi="Arial"/>
          <w:b/>
          <w:bCs/>
          <w:sz w:val="32"/>
          <w:szCs w:val="32"/>
        </w:rPr>
        <w:t xml:space="preserve">3. SCOPE OF WORK</w:t>
      </w:r>
    </w:p>
    <w:p>
      <w:pPr>
        <w:pStyle w:val="Heading2"/>
        <w:spacing w:before="300" w:after="150"/>
      </w:pPr>
      <w:r>
        <w:rPr>
          <w:rFonts w:ascii="Arial" w:cs="Arial" w:eastAsia="Arial" w:hAnsi="Arial"/>
          <w:b/>
          <w:bCs/>
          <w:sz w:val="28"/>
          <w:szCs w:val="28"/>
        </w:rPr>
        <w:t xml:space="preserve">3.1 Loan Products to be Supported</w:t>
      </w:r>
    </w:p>
    <w:p>
      <w:pPr>
        <w:spacing w:after="120"/>
        <w:jc w:val="both"/>
      </w:pPr>
      <w:r>
        <w:rPr>
          <w:rFonts w:ascii="Arial" w:cs="Arial" w:eastAsia="Arial" w:hAnsi="Arial"/>
          <w:sz w:val="22"/>
          <w:szCs w:val="22"/>
        </w:rPr>
        <w:t xml:space="preserve">The LMS must support comprehensive management of the following loan categories:</w:t>
      </w:r>
    </w:p>
    <w:p>
      <w:pPr>
        <w:pStyle w:val="Heading3"/>
        <w:spacing w:before="200" w:after="100"/>
      </w:pPr>
      <w:r>
        <w:rPr>
          <w:rFonts w:ascii="Arial" w:cs="Arial" w:eastAsia="Arial" w:hAnsi="Arial"/>
          <w:b/>
          <w:bCs/>
          <w:sz w:val="24"/>
          <w:szCs w:val="24"/>
        </w:rPr>
        <w:t xml:space="preserve">3.1.1 Retail Lending</w:t>
      </w:r>
    </w:p>
    <w:p>
      <w:pPr>
        <w:pStyle w:val="ListParagraph"/>
        <w:numPr>
          <w:ilvl w:val="0"/>
          <w:numId w:val="2"/>
        </w:numPr>
        <w:spacing w:after="80"/>
      </w:pPr>
      <w:r>
        <w:rPr>
          <w:rFonts w:ascii="Arial" w:cs="Arial" w:eastAsia="Arial" w:hAnsi="Arial"/>
          <w:sz w:val="22"/>
          <w:szCs w:val="22"/>
        </w:rPr>
        <w:t xml:space="preserve">Personal Loans (secured and unsecured)</w:t>
      </w:r>
    </w:p>
    <w:p>
      <w:pPr>
        <w:pStyle w:val="ListParagraph"/>
        <w:numPr>
          <w:ilvl w:val="0"/>
          <w:numId w:val="2"/>
        </w:numPr>
        <w:spacing w:after="80"/>
      </w:pPr>
      <w:r>
        <w:rPr>
          <w:rFonts w:ascii="Arial" w:cs="Arial" w:eastAsia="Arial" w:hAnsi="Arial"/>
          <w:sz w:val="22"/>
          <w:szCs w:val="22"/>
        </w:rPr>
        <w:t xml:space="preserve">Home Loans / Mortgage Finance</w:t>
      </w:r>
    </w:p>
    <w:p>
      <w:pPr>
        <w:pStyle w:val="ListParagraph"/>
        <w:numPr>
          <w:ilvl w:val="0"/>
          <w:numId w:val="2"/>
        </w:numPr>
        <w:spacing w:after="80"/>
      </w:pPr>
      <w:r>
        <w:rPr>
          <w:rFonts w:ascii="Arial" w:cs="Arial" w:eastAsia="Arial" w:hAnsi="Arial"/>
          <w:sz w:val="22"/>
          <w:szCs w:val="22"/>
        </w:rPr>
        <w:t xml:space="preserve">Auto Loans (new and used vehicles)</w:t>
      </w:r>
    </w:p>
    <w:p>
      <w:pPr>
        <w:pStyle w:val="ListParagraph"/>
        <w:numPr>
          <w:ilvl w:val="0"/>
          <w:numId w:val="2"/>
        </w:numPr>
        <w:spacing w:after="80"/>
      </w:pPr>
      <w:r>
        <w:rPr>
          <w:rFonts w:ascii="Arial" w:cs="Arial" w:eastAsia="Arial" w:hAnsi="Arial"/>
          <w:sz w:val="22"/>
          <w:szCs w:val="22"/>
        </w:rPr>
        <w:t xml:space="preserve">Education Loans</w:t>
      </w:r>
    </w:p>
    <w:p>
      <w:pPr>
        <w:pStyle w:val="ListParagraph"/>
        <w:numPr>
          <w:ilvl w:val="0"/>
          <w:numId w:val="2"/>
        </w:numPr>
        <w:spacing w:after="80"/>
      </w:pPr>
      <w:r>
        <w:rPr>
          <w:rFonts w:ascii="Arial" w:cs="Arial" w:eastAsia="Arial" w:hAnsi="Arial"/>
          <w:sz w:val="22"/>
          <w:szCs w:val="22"/>
        </w:rPr>
        <w:t xml:space="preserve">Credit Cards and Revolving Credit Lines</w:t>
      </w:r>
    </w:p>
    <w:p>
      <w:pPr>
        <w:pStyle w:val="ListParagraph"/>
        <w:numPr>
          <w:ilvl w:val="0"/>
          <w:numId w:val="2"/>
        </w:numPr>
        <w:spacing w:after="120"/>
      </w:pPr>
      <w:r>
        <w:rPr>
          <w:rFonts w:ascii="Arial" w:cs="Arial" w:eastAsia="Arial" w:hAnsi="Arial"/>
          <w:sz w:val="22"/>
          <w:szCs w:val="22"/>
        </w:rPr>
        <w:t xml:space="preserve">Agricultural and Rural Credit</w:t>
      </w:r>
    </w:p>
    <w:p>
      <w:pPr>
        <w:pStyle w:val="Heading3"/>
        <w:spacing w:before="200" w:after="100"/>
      </w:pPr>
      <w:r>
        <w:rPr>
          <w:rFonts w:ascii="Arial" w:cs="Arial" w:eastAsia="Arial" w:hAnsi="Arial"/>
          <w:b/>
          <w:bCs/>
          <w:sz w:val="24"/>
          <w:szCs w:val="24"/>
        </w:rPr>
        <w:t xml:space="preserve">3.1.2 SME and Commercial Lending</w:t>
      </w:r>
    </w:p>
    <w:p>
      <w:pPr>
        <w:pStyle w:val="ListParagraph"/>
        <w:numPr>
          <w:ilvl w:val="0"/>
          <w:numId w:val="2"/>
        </w:numPr>
        <w:spacing w:after="80"/>
      </w:pPr>
      <w:r>
        <w:rPr>
          <w:rFonts w:ascii="Arial" w:cs="Arial" w:eastAsia="Arial" w:hAnsi="Arial"/>
          <w:sz w:val="22"/>
          <w:szCs w:val="22"/>
        </w:rPr>
        <w:t xml:space="preserve">Working Capital Finance (Cash Credit, Overdraft)</w:t>
      </w:r>
    </w:p>
    <w:p>
      <w:pPr>
        <w:pStyle w:val="ListParagraph"/>
        <w:numPr>
          <w:ilvl w:val="0"/>
          <w:numId w:val="2"/>
        </w:numPr>
        <w:spacing w:after="80"/>
      </w:pPr>
      <w:r>
        <w:rPr>
          <w:rFonts w:ascii="Arial" w:cs="Arial" w:eastAsia="Arial" w:hAnsi="Arial"/>
          <w:sz w:val="22"/>
          <w:szCs w:val="22"/>
        </w:rPr>
        <w:t xml:space="preserve">Term Loans for Business Expansion</w:t>
      </w:r>
    </w:p>
    <w:p>
      <w:pPr>
        <w:pStyle w:val="ListParagraph"/>
        <w:numPr>
          <w:ilvl w:val="0"/>
          <w:numId w:val="2"/>
        </w:numPr>
        <w:spacing w:after="80"/>
      </w:pPr>
      <w:r>
        <w:rPr>
          <w:rFonts w:ascii="Arial" w:cs="Arial" w:eastAsia="Arial" w:hAnsi="Arial"/>
          <w:sz w:val="22"/>
          <w:szCs w:val="22"/>
        </w:rPr>
        <w:t xml:space="preserve">Trade Finance (Letter of Credit, Bank Guarantee)</w:t>
      </w:r>
    </w:p>
    <w:p>
      <w:pPr>
        <w:pStyle w:val="ListParagraph"/>
        <w:numPr>
          <w:ilvl w:val="0"/>
          <w:numId w:val="2"/>
        </w:numPr>
        <w:spacing w:after="80"/>
      </w:pPr>
      <w:r>
        <w:rPr>
          <w:rFonts w:ascii="Arial" w:cs="Arial" w:eastAsia="Arial" w:hAnsi="Arial"/>
          <w:sz w:val="22"/>
          <w:szCs w:val="22"/>
        </w:rPr>
        <w:t xml:space="preserve">Project Finance</w:t>
      </w:r>
    </w:p>
    <w:p>
      <w:pPr>
        <w:pStyle w:val="ListParagraph"/>
        <w:numPr>
          <w:ilvl w:val="0"/>
          <w:numId w:val="2"/>
        </w:numPr>
        <w:spacing w:after="120"/>
      </w:pPr>
      <w:r>
        <w:rPr>
          <w:rFonts w:ascii="Arial" w:cs="Arial" w:eastAsia="Arial" w:hAnsi="Arial"/>
          <w:sz w:val="22"/>
          <w:szCs w:val="22"/>
        </w:rPr>
        <w:t xml:space="preserve">Syndicated Loans</w:t>
      </w:r>
    </w:p>
    <w:p>
      <w:pPr>
        <w:pStyle w:val="Heading3"/>
        <w:spacing w:before="200" w:after="100"/>
      </w:pPr>
      <w:r>
        <w:rPr>
          <w:rFonts w:ascii="Arial" w:cs="Arial" w:eastAsia="Arial" w:hAnsi="Arial"/>
          <w:b/>
          <w:bCs/>
          <w:sz w:val="24"/>
          <w:szCs w:val="24"/>
        </w:rPr>
        <w:t xml:space="preserve">3.1.3 Islamic Banking Products (Shariah-Compliant)</w:t>
      </w:r>
    </w:p>
    <w:p>
      <w:pPr>
        <w:pStyle w:val="ListParagraph"/>
        <w:numPr>
          <w:ilvl w:val="0"/>
          <w:numId w:val="2"/>
        </w:numPr>
        <w:spacing w:after="80"/>
      </w:pPr>
      <w:r>
        <w:rPr>
          <w:rFonts w:ascii="Arial" w:cs="Arial" w:eastAsia="Arial" w:hAnsi="Arial"/>
          <w:sz w:val="22"/>
          <w:szCs w:val="22"/>
        </w:rPr>
        <w:t xml:space="preserve">Murabaha (Cost-plus financing)</w:t>
      </w:r>
    </w:p>
    <w:p>
      <w:pPr>
        <w:pStyle w:val="ListParagraph"/>
        <w:numPr>
          <w:ilvl w:val="0"/>
          <w:numId w:val="2"/>
        </w:numPr>
        <w:spacing w:after="80"/>
      </w:pPr>
      <w:r>
        <w:rPr>
          <w:rFonts w:ascii="Arial" w:cs="Arial" w:eastAsia="Arial" w:hAnsi="Arial"/>
          <w:sz w:val="22"/>
          <w:szCs w:val="22"/>
        </w:rPr>
        <w:t xml:space="preserve">Ijara (Leasing)</w:t>
      </w:r>
    </w:p>
    <w:p>
      <w:pPr>
        <w:pStyle w:val="ListParagraph"/>
        <w:numPr>
          <w:ilvl w:val="0"/>
          <w:numId w:val="2"/>
        </w:numPr>
        <w:spacing w:after="80"/>
      </w:pPr>
      <w:r>
        <w:rPr>
          <w:rFonts w:ascii="Arial" w:cs="Arial" w:eastAsia="Arial" w:hAnsi="Arial"/>
          <w:sz w:val="22"/>
          <w:szCs w:val="22"/>
        </w:rPr>
        <w:t xml:space="preserve">Musharaka and Mudaraba (Partnership financing)</w:t>
      </w:r>
    </w:p>
    <w:p>
      <w:pPr>
        <w:pStyle w:val="ListParagraph"/>
        <w:numPr>
          <w:ilvl w:val="0"/>
          <w:numId w:val="2"/>
        </w:numPr>
        <w:spacing w:after="80"/>
      </w:pPr>
      <w:r>
        <w:rPr>
          <w:rFonts w:ascii="Arial" w:cs="Arial" w:eastAsia="Arial" w:hAnsi="Arial"/>
          <w:sz w:val="22"/>
          <w:szCs w:val="22"/>
        </w:rPr>
        <w:t xml:space="preserve">Istisna and Salam (Advance purchase)</w:t>
      </w:r>
    </w:p>
    <w:p>
      <w:pPr>
        <w:pStyle w:val="ListParagraph"/>
        <w:numPr>
          <w:ilvl w:val="0"/>
          <w:numId w:val="2"/>
        </w:numPr>
        <w:spacing w:after="120"/>
      </w:pPr>
      <w:r>
        <w:rPr>
          <w:rFonts w:ascii="Arial" w:cs="Arial" w:eastAsia="Arial" w:hAnsi="Arial"/>
          <w:sz w:val="22"/>
          <w:szCs w:val="22"/>
        </w:rPr>
        <w:t xml:space="preserve">Bai-Muajjal (Deferred payment sale)</w:t>
      </w:r>
    </w:p>
    <w:p>
      <w:r>
        <w:br w:type="page"/>
      </w:r>
    </w:p>
    <w:p>
      <w:pPr>
        <w:pStyle w:val="Heading1"/>
        <w:spacing w:before="400" w:after="200"/>
      </w:pPr>
      <w:r>
        <w:rPr>
          <w:rFonts w:ascii="Arial" w:cs="Arial" w:eastAsia="Arial" w:hAnsi="Arial"/>
          <w:b/>
          <w:bCs/>
          <w:sz w:val="32"/>
          <w:szCs w:val="32"/>
        </w:rPr>
        <w:t xml:space="preserve">4. FUNCTIONAL REQUIREMENTS</w:t>
      </w:r>
    </w:p>
    <w:p>
      <w:pPr>
        <w:pStyle w:val="Heading2"/>
        <w:spacing w:before="300" w:after="150"/>
      </w:pPr>
      <w:r>
        <w:rPr>
          <w:rFonts w:ascii="Arial" w:cs="Arial" w:eastAsia="Arial" w:hAnsi="Arial"/>
          <w:b/>
          <w:bCs/>
          <w:sz w:val="28"/>
          <w:szCs w:val="28"/>
        </w:rPr>
        <w:t xml:space="preserve">4.1 Loan Origination Module</w:t>
      </w:r>
    </w:p>
    <w:p>
      <w:pPr>
        <w:pStyle w:val="Heading3"/>
        <w:spacing w:before="200" w:after="100"/>
      </w:pPr>
      <w:r>
        <w:rPr>
          <w:rFonts w:ascii="Arial" w:cs="Arial" w:eastAsia="Arial" w:hAnsi="Arial"/>
          <w:b/>
          <w:bCs/>
          <w:sz w:val="24"/>
          <w:szCs w:val="24"/>
        </w:rPr>
        <w:t xml:space="preserve">4.1.1 Customer Requisition</w:t>
      </w:r>
    </w:p>
    <w:p>
      <w:pPr>
        <w:pStyle w:val="ListParagraph"/>
        <w:numPr>
          <w:ilvl w:val="0"/>
          <w:numId w:val="2"/>
        </w:numPr>
        <w:spacing w:after="80"/>
      </w:pPr>
      <w:r>
        <w:rPr>
          <w:rFonts w:ascii="Arial" w:cs="Arial" w:eastAsia="Arial" w:hAnsi="Arial"/>
          <w:sz w:val="22"/>
          <w:szCs w:val="22"/>
        </w:rPr>
        <w:t xml:space="preserve">Customer loan request capture at branch level with basic eligibility screening</w:t>
      </w:r>
    </w:p>
    <w:p>
      <w:pPr>
        <w:pStyle w:val="ListParagraph"/>
        <w:numPr>
          <w:ilvl w:val="0"/>
          <w:numId w:val="2"/>
        </w:numPr>
        <w:spacing w:after="80"/>
      </w:pPr>
      <w:r>
        <w:rPr>
          <w:rFonts w:ascii="Arial" w:cs="Arial" w:eastAsia="Arial" w:hAnsi="Arial"/>
          <w:sz w:val="22"/>
          <w:szCs w:val="22"/>
        </w:rPr>
        <w:t xml:space="preserve">Online application submission through customer portal and mobile app</w:t>
      </w:r>
    </w:p>
    <w:p>
      <w:pPr>
        <w:pStyle w:val="ListParagraph"/>
        <w:numPr>
          <w:ilvl w:val="0"/>
          <w:numId w:val="2"/>
        </w:numPr>
        <w:spacing w:after="80"/>
      </w:pPr>
      <w:r>
        <w:rPr>
          <w:rFonts w:ascii="Arial" w:cs="Arial" w:eastAsia="Arial" w:hAnsi="Arial"/>
          <w:sz w:val="22"/>
          <w:szCs w:val="22"/>
        </w:rPr>
        <w:t xml:space="preserve">Integration with Bangladesh Post Office and Agent Banking networks</w:t>
      </w:r>
    </w:p>
    <w:p>
      <w:pPr>
        <w:pStyle w:val="ListParagraph"/>
        <w:numPr>
          <w:ilvl w:val="0"/>
          <w:numId w:val="2"/>
        </w:numPr>
        <w:spacing w:after="80"/>
      </w:pPr>
      <w:r>
        <w:rPr>
          <w:rFonts w:ascii="Arial" w:cs="Arial" w:eastAsia="Arial" w:hAnsi="Arial"/>
          <w:sz w:val="22"/>
          <w:szCs w:val="22"/>
        </w:rPr>
        <w:t xml:space="preserve">Branch Officers Credit Committee (BOCC) workflow with digital approval</w:t>
      </w:r>
    </w:p>
    <w:p>
      <w:pPr>
        <w:pStyle w:val="ListParagraph"/>
        <w:numPr>
          <w:ilvl w:val="0"/>
          <w:numId w:val="2"/>
        </w:numPr>
        <w:spacing w:after="120"/>
      </w:pPr>
      <w:r>
        <w:rPr>
          <w:rFonts w:ascii="Arial" w:cs="Arial" w:eastAsia="Arial" w:hAnsi="Arial"/>
          <w:sz w:val="22"/>
          <w:szCs w:val="22"/>
        </w:rPr>
        <w:t xml:space="preserve">Auto-generation of BOCC minutes of meeting with digital signature capture</w:t>
      </w:r>
    </w:p>
    <w:p>
      <w:pPr>
        <w:pStyle w:val="Heading3"/>
        <w:spacing w:before="200" w:after="100"/>
      </w:pPr>
      <w:r>
        <w:rPr>
          <w:rFonts w:ascii="Arial" w:cs="Arial" w:eastAsia="Arial" w:hAnsi="Arial"/>
          <w:b/>
          <w:bCs/>
          <w:sz w:val="24"/>
          <w:szCs w:val="24"/>
        </w:rPr>
        <w:t xml:space="preserve">4.1.2 Customer Information Management</w:t>
      </w:r>
    </w:p>
    <w:p>
      <w:pPr>
        <w:spacing w:after="120"/>
        <w:jc w:val="both"/>
      </w:pPr>
      <w:r>
        <w:rPr>
          <w:rFonts w:ascii="Arial" w:cs="Arial" w:eastAsia="Arial" w:hAnsi="Arial"/>
          <w:sz w:val="22"/>
          <w:szCs w:val="22"/>
        </w:rPr>
        <w:t xml:space="preserve">The system must capture and manage comprehensive customer data including: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Information Category</w:t>
            </w:r>
          </w:p>
        </w:tc>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Data Elements</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Information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NID details, name, DOB, photograph, biometric data, marital status</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Family Information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details, spouse information, dependent information</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Employment/Business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Employer details, designation, salary, business registration, trade license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Information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sources, expenditure, assets, liabilities, net worth calculation</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Information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address, present address, office address, mobile, email</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Banking Relationship</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accounts, loan history, credit card details, relationship value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Collateral/Security</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Property details, valuation, encumbrance status, insurance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Guarantor Information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Guarantor KYC, relationship, financial capacity assessment</w:t>
            </w:r>
          </w:p>
        </w:tc>
      </w:tr>
    </w:tbl>
    <w:p>
      <w:pPr>
        <w:spacing w:after="200"/>
      </w:pPr>
    </w:p>
    <w:p>
      <w:pPr>
        <w:pStyle w:val="Heading3"/>
        <w:spacing w:before="200" w:after="100"/>
      </w:pPr>
      <w:r>
        <w:rPr>
          <w:rFonts w:ascii="Arial" w:cs="Arial" w:eastAsia="Arial" w:hAnsi="Arial"/>
          <w:b/>
          <w:bCs/>
          <w:sz w:val="24"/>
          <w:szCs w:val="24"/>
        </w:rPr>
        <w:t xml:space="preserve">4.1.3 e-KYC and NID Verification</w:t>
      </w:r>
    </w:p>
    <w:p>
      <w:pPr>
        <w:spacing w:after="120"/>
        <w:jc w:val="both"/>
      </w:pPr>
      <w:r>
        <w:rPr>
          <w:rFonts w:ascii="Arial" w:cs="Arial" w:eastAsia="Arial" w:hAnsi="Arial"/>
          <w:sz w:val="22"/>
          <w:szCs w:val="22"/>
        </w:rPr>
        <w:t xml:space="preserve">Mandatory integration with Election Commission's NID Wing database for:</w:t>
      </w:r>
    </w:p>
    <w:p>
      <w:pPr>
        <w:pStyle w:val="ListParagraph"/>
        <w:numPr>
          <w:ilvl w:val="0"/>
          <w:numId w:val="2"/>
        </w:numPr>
        <w:spacing w:after="80"/>
      </w:pPr>
      <w:r>
        <w:rPr>
          <w:rFonts w:ascii="Arial" w:cs="Arial" w:eastAsia="Arial" w:hAnsi="Arial"/>
          <w:sz w:val="22"/>
          <w:szCs w:val="22"/>
        </w:rPr>
        <w:t xml:space="preserve">Real-time NID verification with biometric authentication (fingerprint and facial recognition)</w:t>
      </w:r>
    </w:p>
    <w:p>
      <w:pPr>
        <w:pStyle w:val="ListParagraph"/>
        <w:numPr>
          <w:ilvl w:val="0"/>
          <w:numId w:val="2"/>
        </w:numPr>
        <w:spacing w:after="80"/>
      </w:pPr>
      <w:r>
        <w:rPr>
          <w:rFonts w:ascii="Arial" w:cs="Arial" w:eastAsia="Arial" w:hAnsi="Arial"/>
          <w:sz w:val="22"/>
          <w:szCs w:val="22"/>
        </w:rPr>
        <w:t xml:space="preserve">OCR-based NID data extraction in both Bangla and English</w:t>
      </w:r>
    </w:p>
    <w:p>
      <w:pPr>
        <w:pStyle w:val="ListParagraph"/>
        <w:numPr>
          <w:ilvl w:val="0"/>
          <w:numId w:val="2"/>
        </w:numPr>
        <w:spacing w:after="80"/>
      </w:pPr>
      <w:r>
        <w:rPr>
          <w:rFonts w:ascii="Arial" w:cs="Arial" w:eastAsia="Arial" w:hAnsi="Arial"/>
          <w:sz w:val="22"/>
          <w:szCs w:val="22"/>
        </w:rPr>
        <w:t xml:space="preserve">Liveness detection to prevent spoofing</w:t>
      </w:r>
    </w:p>
    <w:p>
      <w:pPr>
        <w:pStyle w:val="ListParagraph"/>
        <w:numPr>
          <w:ilvl w:val="0"/>
          <w:numId w:val="2"/>
        </w:numPr>
        <w:spacing w:after="80"/>
      </w:pPr>
      <w:r>
        <w:rPr>
          <w:rFonts w:ascii="Arial" w:cs="Arial" w:eastAsia="Arial" w:hAnsi="Arial"/>
          <w:sz w:val="22"/>
          <w:szCs w:val="22"/>
        </w:rPr>
        <w:t xml:space="preserve">Support for simplified e-KYC (BDT 1-20,000 limit) and regular e-KYC (BDT 20,000-250,000)</w:t>
      </w:r>
    </w:p>
    <w:p>
      <w:pPr>
        <w:pStyle w:val="ListParagraph"/>
        <w:numPr>
          <w:ilvl w:val="0"/>
          <w:numId w:val="2"/>
        </w:numPr>
        <w:spacing w:after="120"/>
      </w:pPr>
      <w:r>
        <w:rPr>
          <w:rFonts w:ascii="Arial" w:cs="Arial" w:eastAsia="Arial" w:hAnsi="Arial"/>
          <w:sz w:val="22"/>
          <w:szCs w:val="22"/>
        </w:rPr>
        <w:t xml:space="preserve">Compliance with BFIU e-KYC guidelines</w:t>
      </w:r>
    </w:p>
    <w:p>
      <w:pPr>
        <w:pStyle w:val="Heading2"/>
        <w:spacing w:before="300" w:after="150"/>
      </w:pPr>
      <w:r>
        <w:rPr>
          <w:rFonts w:ascii="Arial" w:cs="Arial" w:eastAsia="Arial" w:hAnsi="Arial"/>
          <w:b/>
          <w:bCs/>
          <w:sz w:val="28"/>
          <w:szCs w:val="28"/>
        </w:rPr>
        <w:t xml:space="preserve">4.2 Credit Analysis and Assessment</w:t>
      </w:r>
    </w:p>
    <w:p>
      <w:pPr>
        <w:pStyle w:val="Heading3"/>
        <w:spacing w:before="200" w:after="100"/>
      </w:pPr>
      <w:r>
        <w:rPr>
          <w:rFonts w:ascii="Arial" w:cs="Arial" w:eastAsia="Arial" w:hAnsi="Arial"/>
          <w:b/>
          <w:bCs/>
          <w:sz w:val="24"/>
          <w:szCs w:val="24"/>
        </w:rPr>
        <w:t xml:space="preserve">4.2.1 CIB Integration</w:t>
      </w:r>
    </w:p>
    <w:p>
      <w:pPr>
        <w:spacing w:after="120"/>
        <w:jc w:val="both"/>
      </w:pPr>
      <w:r>
        <w:rPr>
          <w:rFonts w:ascii="Arial" w:cs="Arial" w:eastAsia="Arial" w:hAnsi="Arial"/>
          <w:sz w:val="22"/>
          <w:szCs w:val="22"/>
        </w:rPr>
        <w:t xml:space="preserve">The system must integrate with Bangladesh Bank's Credit Information Bureau (CIB) Online System for:</w:t>
      </w:r>
    </w:p>
    <w:p>
      <w:pPr>
        <w:pStyle w:val="ListParagraph"/>
        <w:numPr>
          <w:ilvl w:val="0"/>
          <w:numId w:val="2"/>
        </w:numPr>
        <w:spacing w:after="80"/>
      </w:pPr>
      <w:r>
        <w:rPr>
          <w:rFonts w:ascii="Arial" w:cs="Arial" w:eastAsia="Arial" w:hAnsi="Arial"/>
          <w:sz w:val="22"/>
          <w:szCs w:val="22"/>
        </w:rPr>
        <w:t xml:space="preserve">Automated CIB inquiry and report generation</w:t>
      </w:r>
    </w:p>
    <w:p>
      <w:pPr>
        <w:pStyle w:val="ListParagraph"/>
        <w:numPr>
          <w:ilvl w:val="0"/>
          <w:numId w:val="2"/>
        </w:numPr>
        <w:spacing w:after="80"/>
      </w:pPr>
      <w:r>
        <w:rPr>
          <w:rFonts w:ascii="Arial" w:cs="Arial" w:eastAsia="Arial" w:hAnsi="Arial"/>
          <w:sz w:val="22"/>
          <w:szCs w:val="22"/>
        </w:rPr>
        <w:t xml:space="preserve">Individual and company credit history verification</w:t>
      </w:r>
    </w:p>
    <w:p>
      <w:pPr>
        <w:pStyle w:val="ListParagraph"/>
        <w:numPr>
          <w:ilvl w:val="0"/>
          <w:numId w:val="2"/>
        </w:numPr>
        <w:spacing w:after="80"/>
      </w:pPr>
      <w:r>
        <w:rPr>
          <w:rFonts w:ascii="Arial" w:cs="Arial" w:eastAsia="Arial" w:hAnsi="Arial"/>
          <w:sz w:val="22"/>
          <w:szCs w:val="22"/>
        </w:rPr>
        <w:t xml:space="preserve">Related party and group exposure checking</w:t>
      </w:r>
    </w:p>
    <w:p>
      <w:pPr>
        <w:pStyle w:val="ListParagraph"/>
        <w:numPr>
          <w:ilvl w:val="0"/>
          <w:numId w:val="2"/>
        </w:numPr>
        <w:spacing w:after="80"/>
      </w:pPr>
      <w:r>
        <w:rPr>
          <w:rFonts w:ascii="Arial" w:cs="Arial" w:eastAsia="Arial" w:hAnsi="Arial"/>
          <w:sz w:val="22"/>
          <w:szCs w:val="22"/>
        </w:rPr>
        <w:t xml:space="preserve">Loan classification status verification (SMA, SS, DF, B/L)</w:t>
      </w:r>
    </w:p>
    <w:p>
      <w:pPr>
        <w:pStyle w:val="ListParagraph"/>
        <w:numPr>
          <w:ilvl w:val="0"/>
          <w:numId w:val="2"/>
        </w:numPr>
        <w:spacing w:after="120"/>
      </w:pPr>
      <w:r>
        <w:rPr>
          <w:rFonts w:ascii="Arial" w:cs="Arial" w:eastAsia="Arial" w:hAnsi="Arial"/>
          <w:sz w:val="22"/>
          <w:szCs w:val="22"/>
        </w:rPr>
        <w:t xml:space="preserve">Dedupe checking to prevent duplicate lending</w:t>
      </w:r>
    </w:p>
    <w:p>
      <w:pPr>
        <w:pStyle w:val="Heading3"/>
        <w:spacing w:before="200" w:after="100"/>
      </w:pPr>
      <w:r>
        <w:rPr>
          <w:rFonts w:ascii="Arial" w:cs="Arial" w:eastAsia="Arial" w:hAnsi="Arial"/>
          <w:b/>
          <w:bCs/>
          <w:sz w:val="24"/>
          <w:szCs w:val="24"/>
        </w:rPr>
        <w:t xml:space="preserve">4.2.2 Credit Scoring Engine</w:t>
      </w:r>
    </w:p>
    <w:p>
      <w:pPr>
        <w:pStyle w:val="ListParagraph"/>
        <w:numPr>
          <w:ilvl w:val="0"/>
          <w:numId w:val="2"/>
        </w:numPr>
        <w:spacing w:after="80"/>
      </w:pPr>
      <w:r>
        <w:rPr>
          <w:rFonts w:ascii="Arial" w:cs="Arial" w:eastAsia="Arial" w:hAnsi="Arial"/>
          <w:sz w:val="22"/>
          <w:szCs w:val="22"/>
        </w:rPr>
        <w:t xml:space="preserve">AI/ML-based alternative credit scoring for thin-file customers</w:t>
      </w:r>
    </w:p>
    <w:p>
      <w:pPr>
        <w:pStyle w:val="ListParagraph"/>
        <w:numPr>
          <w:ilvl w:val="0"/>
          <w:numId w:val="2"/>
        </w:numPr>
        <w:spacing w:after="80"/>
      </w:pPr>
      <w:r>
        <w:rPr>
          <w:rFonts w:ascii="Arial" w:cs="Arial" w:eastAsia="Arial" w:hAnsi="Arial"/>
          <w:sz w:val="22"/>
          <w:szCs w:val="22"/>
        </w:rPr>
        <w:t xml:space="preserve">Configurable scoring models based on loan product and customer segment</w:t>
      </w:r>
    </w:p>
    <w:p>
      <w:pPr>
        <w:pStyle w:val="ListParagraph"/>
        <w:numPr>
          <w:ilvl w:val="0"/>
          <w:numId w:val="2"/>
        </w:numPr>
        <w:spacing w:after="80"/>
      </w:pPr>
      <w:r>
        <w:rPr>
          <w:rFonts w:ascii="Arial" w:cs="Arial" w:eastAsia="Arial" w:hAnsi="Arial"/>
          <w:sz w:val="22"/>
          <w:szCs w:val="22"/>
        </w:rPr>
        <w:t xml:space="preserve">Debt Burden Ratio (DBR) calculation</w:t>
      </w:r>
    </w:p>
    <w:p>
      <w:pPr>
        <w:pStyle w:val="ListParagraph"/>
        <w:numPr>
          <w:ilvl w:val="0"/>
          <w:numId w:val="2"/>
        </w:numPr>
        <w:spacing w:after="80"/>
      </w:pPr>
      <w:r>
        <w:rPr>
          <w:rFonts w:ascii="Arial" w:cs="Arial" w:eastAsia="Arial" w:hAnsi="Arial"/>
          <w:sz w:val="22"/>
          <w:szCs w:val="22"/>
        </w:rPr>
        <w:t xml:space="preserve">Behavioral scoring based on existing banking relationship</w:t>
      </w:r>
    </w:p>
    <w:p>
      <w:pPr>
        <w:pStyle w:val="ListParagraph"/>
        <w:numPr>
          <w:ilvl w:val="0"/>
          <w:numId w:val="2"/>
        </w:numPr>
        <w:spacing w:after="120"/>
      </w:pPr>
      <w:r>
        <w:rPr>
          <w:rFonts w:ascii="Arial" w:cs="Arial" w:eastAsia="Arial" w:hAnsi="Arial"/>
          <w:sz w:val="22"/>
          <w:szCs w:val="22"/>
        </w:rPr>
        <w:t xml:space="preserve">Explainable AI for transparent credit decisions (as per BB's AI policy)</w:t>
      </w:r>
    </w:p>
    <w:p>
      <w:pPr>
        <w:pStyle w:val="Heading3"/>
        <w:spacing w:before="200" w:after="100"/>
      </w:pPr>
      <w:r>
        <w:rPr>
          <w:rFonts w:ascii="Arial" w:cs="Arial" w:eastAsia="Arial" w:hAnsi="Arial"/>
          <w:b/>
          <w:bCs/>
          <w:sz w:val="24"/>
          <w:szCs w:val="24"/>
        </w:rPr>
        <w:t xml:space="preserve">4.2.3 Contact Point Verification (CPV)</w:t>
      </w:r>
    </w:p>
    <w:p>
      <w:pPr>
        <w:pStyle w:val="ListParagraph"/>
        <w:numPr>
          <w:ilvl w:val="0"/>
          <w:numId w:val="2"/>
        </w:numPr>
        <w:spacing w:after="80"/>
      </w:pPr>
      <w:r>
        <w:rPr>
          <w:rFonts w:ascii="Arial" w:cs="Arial" w:eastAsia="Arial" w:hAnsi="Arial"/>
          <w:sz w:val="22"/>
          <w:szCs w:val="22"/>
        </w:rPr>
        <w:t xml:space="preserve">Mobile-based CPV with GPS tagging and timestamp</w:t>
      </w:r>
    </w:p>
    <w:p>
      <w:pPr>
        <w:pStyle w:val="ListParagraph"/>
        <w:numPr>
          <w:ilvl w:val="0"/>
          <w:numId w:val="2"/>
        </w:numPr>
        <w:spacing w:after="80"/>
      </w:pPr>
      <w:r>
        <w:rPr>
          <w:rFonts w:ascii="Arial" w:cs="Arial" w:eastAsia="Arial" w:hAnsi="Arial"/>
          <w:sz w:val="22"/>
          <w:szCs w:val="22"/>
        </w:rPr>
        <w:t xml:space="preserve">Photo and video capture for residence/business verification</w:t>
      </w:r>
    </w:p>
    <w:p>
      <w:pPr>
        <w:pStyle w:val="ListParagraph"/>
        <w:numPr>
          <w:ilvl w:val="0"/>
          <w:numId w:val="2"/>
        </w:numPr>
        <w:spacing w:after="80"/>
      </w:pPr>
      <w:r>
        <w:rPr>
          <w:rFonts w:ascii="Arial" w:cs="Arial" w:eastAsia="Arial" w:hAnsi="Arial"/>
          <w:sz w:val="22"/>
          <w:szCs w:val="22"/>
        </w:rPr>
        <w:t xml:space="preserve">Digital CPV report generation</w:t>
      </w:r>
    </w:p>
    <w:p>
      <w:pPr>
        <w:pStyle w:val="ListParagraph"/>
        <w:numPr>
          <w:ilvl w:val="0"/>
          <w:numId w:val="2"/>
        </w:numPr>
        <w:spacing w:after="120"/>
      </w:pPr>
      <w:r>
        <w:rPr>
          <w:rFonts w:ascii="Arial" w:cs="Arial" w:eastAsia="Arial" w:hAnsi="Arial"/>
          <w:sz w:val="22"/>
          <w:szCs w:val="22"/>
        </w:rPr>
        <w:t xml:space="preserve">Integration with property valuation databases</w:t>
      </w:r>
    </w:p>
    <w:p>
      <w:r>
        <w:br w:type="page"/>
      </w:r>
    </w:p>
    <w:p>
      <w:pPr>
        <w:pStyle w:val="Heading2"/>
        <w:spacing w:before="300" w:after="150"/>
      </w:pPr>
      <w:r>
        <w:rPr>
          <w:rFonts w:ascii="Arial" w:cs="Arial" w:eastAsia="Arial" w:hAnsi="Arial"/>
          <w:b/>
          <w:bCs/>
          <w:sz w:val="28"/>
          <w:szCs w:val="28"/>
        </w:rPr>
        <w:t xml:space="preserve">4.3 Approval Workflow Engine</w:t>
      </w:r>
    </w:p>
    <w:p>
      <w:pPr>
        <w:pStyle w:val="Heading3"/>
        <w:spacing w:before="200" w:after="100"/>
      </w:pPr>
      <w:r>
        <w:rPr>
          <w:rFonts w:ascii="Arial" w:cs="Arial" w:eastAsia="Arial" w:hAnsi="Arial"/>
          <w:b/>
          <w:bCs/>
          <w:sz w:val="24"/>
          <w:szCs w:val="24"/>
        </w:rPr>
        <w:t xml:space="preserve">4.3.1 Multi-Level Approval Hierarchy</w:t>
      </w:r>
    </w:p>
    <w:p>
      <w:pPr>
        <w:spacing w:after="120"/>
        <w:jc w:val="both"/>
      </w:pPr>
      <w:r>
        <w:rPr>
          <w:rFonts w:ascii="Arial" w:cs="Arial" w:eastAsia="Arial" w:hAnsi="Arial"/>
          <w:sz w:val="22"/>
          <w:szCs w:val="22"/>
        </w:rPr>
        <w:t xml:space="preserve">The system must support configurable approval workflows matching Bangladesh banking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5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c>
          <w:tcPr>
            <w:tcW w:type="dxa" w:w="351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Level</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Manager</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screening, BOCC recommendation, Branch Proposal generation</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Zonal Level</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Zonal Head / Regional Manager</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Regional review and endorsement for larger loans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Office</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 Loan Division</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Centralized review, policy compliance verification</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Division</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Analyst / Supervisor</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Detailed credit analysis, Credit Memo generation</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Management</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Retail / DMD / MD</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approval based on delegation of authority</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Level</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Credit Committee</w:t>
            </w:r>
          </w:p>
        </w:tc>
        <w:tc>
          <w:tcPr>
            <w:tcW w:type="dxa" w:w="35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exposure approvals, policy exceptions</w:t>
            </w:r>
          </w:p>
        </w:tc>
      </w:tr>
    </w:tbl>
    <w:p>
      <w:pPr>
        <w:spacing w:after="200"/>
      </w:pPr>
    </w:p>
    <w:p>
      <w:pPr>
        <w:pStyle w:val="Heading3"/>
        <w:spacing w:before="200" w:after="100"/>
      </w:pPr>
      <w:r>
        <w:rPr>
          <w:rFonts w:ascii="Arial" w:cs="Arial" w:eastAsia="Arial" w:hAnsi="Arial"/>
          <w:b/>
          <w:bCs/>
          <w:sz w:val="24"/>
          <w:szCs w:val="24"/>
        </w:rPr>
        <w:t xml:space="preserve">4.3.2 Digital Signature Integration</w:t>
      </w:r>
    </w:p>
    <w:p>
      <w:pPr>
        <w:pStyle w:val="ListParagraph"/>
        <w:numPr>
          <w:ilvl w:val="0"/>
          <w:numId w:val="2"/>
        </w:numPr>
        <w:spacing w:after="80"/>
      </w:pPr>
      <w:r>
        <w:rPr>
          <w:rFonts w:ascii="Arial" w:cs="Arial" w:eastAsia="Arial" w:hAnsi="Arial"/>
          <w:sz w:val="22"/>
          <w:szCs w:val="22"/>
        </w:rPr>
        <w:t xml:space="preserve">Auto-capture of user signatures at each approval stage</w:t>
      </w:r>
    </w:p>
    <w:p>
      <w:pPr>
        <w:pStyle w:val="ListParagraph"/>
        <w:numPr>
          <w:ilvl w:val="0"/>
          <w:numId w:val="2"/>
        </w:numPr>
        <w:spacing w:after="80"/>
      </w:pPr>
      <w:r>
        <w:rPr>
          <w:rFonts w:ascii="Arial" w:cs="Arial" w:eastAsia="Arial" w:hAnsi="Arial"/>
          <w:sz w:val="22"/>
          <w:szCs w:val="22"/>
        </w:rPr>
        <w:t xml:space="preserve">Digital signature certificate integration (PKI-based)</w:t>
      </w:r>
    </w:p>
    <w:p>
      <w:pPr>
        <w:pStyle w:val="ListParagraph"/>
        <w:numPr>
          <w:ilvl w:val="0"/>
          <w:numId w:val="2"/>
        </w:numPr>
        <w:spacing w:after="80"/>
      </w:pPr>
      <w:r>
        <w:rPr>
          <w:rFonts w:ascii="Arial" w:cs="Arial" w:eastAsia="Arial" w:hAnsi="Arial"/>
          <w:sz w:val="22"/>
          <w:szCs w:val="22"/>
        </w:rPr>
        <w:t xml:space="preserve">Audit trail of all approvals with timestamp and IP address</w:t>
      </w:r>
    </w:p>
    <w:p>
      <w:pPr>
        <w:pStyle w:val="ListParagraph"/>
        <w:numPr>
          <w:ilvl w:val="0"/>
          <w:numId w:val="2"/>
        </w:numPr>
        <w:spacing w:after="120"/>
      </w:pPr>
      <w:r>
        <w:rPr>
          <w:rFonts w:ascii="Arial" w:cs="Arial" w:eastAsia="Arial" w:hAnsi="Arial"/>
          <w:sz w:val="22"/>
          <w:szCs w:val="22"/>
        </w:rPr>
        <w:t xml:space="preserve">Biometric authentication for high-value approvals</w:t>
      </w:r>
    </w:p>
    <w:p>
      <w:pPr>
        <w:pStyle w:val="Heading2"/>
        <w:spacing w:before="300" w:after="150"/>
      </w:pPr>
      <w:r>
        <w:rPr>
          <w:rFonts w:ascii="Arial" w:cs="Arial" w:eastAsia="Arial" w:hAnsi="Arial"/>
          <w:b/>
          <w:bCs/>
          <w:sz w:val="28"/>
          <w:szCs w:val="28"/>
        </w:rPr>
        <w:t xml:space="preserve">4.4 Document Management</w:t>
      </w:r>
    </w:p>
    <w:p>
      <w:pPr>
        <w:pStyle w:val="Heading3"/>
        <w:spacing w:before="200" w:after="100"/>
      </w:pPr>
      <w:r>
        <w:rPr>
          <w:rFonts w:ascii="Arial" w:cs="Arial" w:eastAsia="Arial" w:hAnsi="Arial"/>
          <w:b/>
          <w:bCs/>
          <w:sz w:val="24"/>
          <w:szCs w:val="24"/>
        </w:rPr>
        <w:t xml:space="preserve">4.4.1 Digital Document Repository</w:t>
      </w:r>
    </w:p>
    <w:p>
      <w:pPr>
        <w:pStyle w:val="ListParagraph"/>
        <w:numPr>
          <w:ilvl w:val="0"/>
          <w:numId w:val="2"/>
        </w:numPr>
        <w:spacing w:after="80"/>
      </w:pPr>
      <w:r>
        <w:rPr>
          <w:rFonts w:ascii="Arial" w:cs="Arial" w:eastAsia="Arial" w:hAnsi="Arial"/>
          <w:sz w:val="22"/>
          <w:szCs w:val="22"/>
        </w:rPr>
        <w:t xml:space="preserve">Centralized document management system (LogicalDOC or equivalent)</w:t>
      </w:r>
    </w:p>
    <w:p>
      <w:pPr>
        <w:pStyle w:val="ListParagraph"/>
        <w:numPr>
          <w:ilvl w:val="0"/>
          <w:numId w:val="2"/>
        </w:numPr>
        <w:spacing w:after="80"/>
      </w:pPr>
      <w:r>
        <w:rPr>
          <w:rFonts w:ascii="Arial" w:cs="Arial" w:eastAsia="Arial" w:hAnsi="Arial"/>
          <w:sz w:val="22"/>
          <w:szCs w:val="22"/>
        </w:rPr>
        <w:t xml:space="preserve">AES-256 encryption for document security</w:t>
      </w:r>
    </w:p>
    <w:p>
      <w:pPr>
        <w:pStyle w:val="ListParagraph"/>
        <w:numPr>
          <w:ilvl w:val="0"/>
          <w:numId w:val="2"/>
        </w:numPr>
        <w:spacing w:after="80"/>
      </w:pPr>
      <w:r>
        <w:rPr>
          <w:rFonts w:ascii="Arial" w:cs="Arial" w:eastAsia="Arial" w:hAnsi="Arial"/>
          <w:sz w:val="22"/>
          <w:szCs w:val="22"/>
        </w:rPr>
        <w:t xml:space="preserve">Version control and document history tracking</w:t>
      </w:r>
    </w:p>
    <w:p>
      <w:pPr>
        <w:pStyle w:val="ListParagraph"/>
        <w:numPr>
          <w:ilvl w:val="0"/>
          <w:numId w:val="2"/>
        </w:numPr>
        <w:spacing w:after="80"/>
      </w:pPr>
      <w:r>
        <w:rPr>
          <w:rFonts w:ascii="Arial" w:cs="Arial" w:eastAsia="Arial" w:hAnsi="Arial"/>
          <w:sz w:val="22"/>
          <w:szCs w:val="22"/>
        </w:rPr>
        <w:t xml:space="preserve">OCR-enabled document search</w:t>
      </w:r>
    </w:p>
    <w:p>
      <w:pPr>
        <w:pStyle w:val="ListParagraph"/>
        <w:numPr>
          <w:ilvl w:val="0"/>
          <w:numId w:val="2"/>
        </w:numPr>
        <w:spacing w:after="120"/>
      </w:pPr>
      <w:r>
        <w:rPr>
          <w:rFonts w:ascii="Arial" w:cs="Arial" w:eastAsia="Arial" w:hAnsi="Arial"/>
          <w:sz w:val="22"/>
          <w:szCs w:val="22"/>
        </w:rPr>
        <w:t xml:space="preserve">Document checklist management with mandatory/optional classification</w:t>
      </w:r>
    </w:p>
    <w:p>
      <w:pPr>
        <w:pStyle w:val="Heading3"/>
        <w:spacing w:before="200" w:after="100"/>
      </w:pPr>
      <w:r>
        <w:rPr>
          <w:rFonts w:ascii="Arial" w:cs="Arial" w:eastAsia="Arial" w:hAnsi="Arial"/>
          <w:b/>
          <w:bCs/>
          <w:sz w:val="24"/>
          <w:szCs w:val="24"/>
        </w:rPr>
        <w:t xml:space="preserve">4.4.2 Auto-Generated Reports and Letters</w:t>
      </w:r>
    </w:p>
    <w:p>
      <w:pPr>
        <w:spacing w:after="120"/>
        <w:jc w:val="both"/>
      </w:pPr>
      <w:r>
        <w:rPr>
          <w:rFonts w:ascii="Arial" w:cs="Arial" w:eastAsia="Arial" w:hAnsi="Arial"/>
          <w:sz w:val="22"/>
          <w:szCs w:val="22"/>
        </w:rPr>
        <w:t xml:space="preserve">The system must auto-generate the following documents with configurable templates:</w:t>
      </w:r>
    </w:p>
    <w:p>
      <w:pPr>
        <w:pStyle w:val="ListParagraph"/>
        <w:numPr>
          <w:ilvl w:val="0"/>
          <w:numId w:val="2"/>
        </w:numPr>
        <w:spacing w:after="80"/>
      </w:pPr>
      <w:r>
        <w:rPr>
          <w:rFonts w:ascii="Arial" w:cs="Arial" w:eastAsia="Arial" w:hAnsi="Arial"/>
          <w:sz w:val="22"/>
          <w:szCs w:val="22"/>
        </w:rPr>
        <w:t xml:space="preserve">BOCC Minutes of Meeting</w:t>
      </w:r>
    </w:p>
    <w:p>
      <w:pPr>
        <w:pStyle w:val="ListParagraph"/>
        <w:numPr>
          <w:ilvl w:val="0"/>
          <w:numId w:val="2"/>
        </w:numPr>
        <w:spacing w:after="80"/>
      </w:pPr>
      <w:r>
        <w:rPr>
          <w:rFonts w:ascii="Arial" w:cs="Arial" w:eastAsia="Arial" w:hAnsi="Arial"/>
          <w:sz w:val="22"/>
          <w:szCs w:val="22"/>
        </w:rPr>
        <w:t xml:space="preserve">Branch Proposal</w:t>
      </w:r>
    </w:p>
    <w:p>
      <w:pPr>
        <w:pStyle w:val="ListParagraph"/>
        <w:numPr>
          <w:ilvl w:val="0"/>
          <w:numId w:val="2"/>
        </w:numPr>
        <w:spacing w:after="80"/>
      </w:pPr>
      <w:r>
        <w:rPr>
          <w:rFonts w:ascii="Arial" w:cs="Arial" w:eastAsia="Arial" w:hAnsi="Arial"/>
          <w:sz w:val="22"/>
          <w:szCs w:val="22"/>
        </w:rPr>
        <w:t xml:space="preserve">Contact Point Verification Report</w:t>
      </w:r>
    </w:p>
    <w:p>
      <w:pPr>
        <w:pStyle w:val="ListParagraph"/>
        <w:numPr>
          <w:ilvl w:val="0"/>
          <w:numId w:val="2"/>
        </w:numPr>
        <w:spacing w:after="80"/>
      </w:pPr>
      <w:r>
        <w:rPr>
          <w:rFonts w:ascii="Arial" w:cs="Arial" w:eastAsia="Arial" w:hAnsi="Arial"/>
          <w:sz w:val="22"/>
          <w:szCs w:val="22"/>
        </w:rPr>
        <w:t xml:space="preserve">Head Office Credit Proposal Memo</w:t>
      </w:r>
    </w:p>
    <w:p>
      <w:pPr>
        <w:pStyle w:val="ListParagraph"/>
        <w:numPr>
          <w:ilvl w:val="0"/>
          <w:numId w:val="2"/>
        </w:numPr>
        <w:spacing w:after="80"/>
      </w:pPr>
      <w:r>
        <w:rPr>
          <w:rFonts w:ascii="Arial" w:cs="Arial" w:eastAsia="Arial" w:hAnsi="Arial"/>
          <w:sz w:val="22"/>
          <w:szCs w:val="22"/>
        </w:rPr>
        <w:t xml:space="preserve">Approval Note</w:t>
      </w:r>
    </w:p>
    <w:p>
      <w:pPr>
        <w:pStyle w:val="ListParagraph"/>
        <w:numPr>
          <w:ilvl w:val="0"/>
          <w:numId w:val="2"/>
        </w:numPr>
        <w:spacing w:after="80"/>
      </w:pPr>
      <w:r>
        <w:rPr>
          <w:rFonts w:ascii="Arial" w:cs="Arial" w:eastAsia="Arial" w:hAnsi="Arial"/>
          <w:sz w:val="22"/>
          <w:szCs w:val="22"/>
        </w:rPr>
        <w:t xml:space="preserve">Sanction Letter (Draft and Final)</w:t>
      </w:r>
    </w:p>
    <w:p>
      <w:pPr>
        <w:pStyle w:val="ListParagraph"/>
        <w:numPr>
          <w:ilvl w:val="0"/>
          <w:numId w:val="2"/>
        </w:numPr>
        <w:spacing w:after="80"/>
      </w:pPr>
      <w:r>
        <w:rPr>
          <w:rFonts w:ascii="Arial" w:cs="Arial" w:eastAsia="Arial" w:hAnsi="Arial"/>
          <w:sz w:val="22"/>
          <w:szCs w:val="22"/>
        </w:rPr>
        <w:t xml:space="preserve">BRTA Letter (for auto loans)</w:t>
      </w:r>
    </w:p>
    <w:p>
      <w:pPr>
        <w:pStyle w:val="ListParagraph"/>
        <w:numPr>
          <w:ilvl w:val="0"/>
          <w:numId w:val="2"/>
        </w:numPr>
        <w:spacing w:after="120"/>
      </w:pPr>
      <w:r>
        <w:rPr>
          <w:rFonts w:ascii="Arial" w:cs="Arial" w:eastAsia="Arial" w:hAnsi="Arial"/>
          <w:sz w:val="22"/>
          <w:szCs w:val="22"/>
        </w:rPr>
        <w:t xml:space="preserve">Limit Loading Report</w:t>
      </w:r>
    </w:p>
    <w:p>
      <w:r>
        <w:br w:type="page"/>
      </w:r>
    </w:p>
    <w:p>
      <w:pPr>
        <w:pStyle w:val="Heading2"/>
        <w:spacing w:before="300" w:after="150"/>
      </w:pPr>
      <w:r>
        <w:rPr>
          <w:rFonts w:ascii="Arial" w:cs="Arial" w:eastAsia="Arial" w:hAnsi="Arial"/>
          <w:b/>
          <w:bCs/>
          <w:sz w:val="28"/>
          <w:szCs w:val="28"/>
        </w:rPr>
        <w:t xml:space="preserve">4.5 Loan Servicing Module</w:t>
      </w:r>
    </w:p>
    <w:p>
      <w:pPr>
        <w:pStyle w:val="Heading3"/>
        <w:spacing w:before="200" w:after="100"/>
      </w:pPr>
      <w:r>
        <w:rPr>
          <w:rFonts w:ascii="Arial" w:cs="Arial" w:eastAsia="Arial" w:hAnsi="Arial"/>
          <w:b/>
          <w:bCs/>
          <w:sz w:val="24"/>
          <w:szCs w:val="24"/>
        </w:rPr>
        <w:t xml:space="preserve">4.5.1 Disbursement Management</w:t>
      </w:r>
    </w:p>
    <w:p>
      <w:pPr>
        <w:pStyle w:val="ListParagraph"/>
        <w:numPr>
          <w:ilvl w:val="0"/>
          <w:numId w:val="2"/>
        </w:numPr>
        <w:spacing w:after="80"/>
      </w:pPr>
      <w:r>
        <w:rPr>
          <w:rFonts w:ascii="Arial" w:cs="Arial" w:eastAsia="Arial" w:hAnsi="Arial"/>
          <w:sz w:val="22"/>
          <w:szCs w:val="22"/>
        </w:rPr>
        <w:t xml:space="preserve">Pre-disbursement checklist verification</w:t>
      </w:r>
    </w:p>
    <w:p>
      <w:pPr>
        <w:pStyle w:val="ListParagraph"/>
        <w:numPr>
          <w:ilvl w:val="0"/>
          <w:numId w:val="2"/>
        </w:numPr>
        <w:spacing w:after="80"/>
      </w:pPr>
      <w:r>
        <w:rPr>
          <w:rFonts w:ascii="Arial" w:cs="Arial" w:eastAsia="Arial" w:hAnsi="Arial"/>
          <w:sz w:val="22"/>
          <w:szCs w:val="22"/>
        </w:rPr>
        <w:t xml:space="preserve">Limit loading in CBS with maker-checker control</w:t>
      </w:r>
    </w:p>
    <w:p>
      <w:pPr>
        <w:pStyle w:val="ListParagraph"/>
        <w:numPr>
          <w:ilvl w:val="0"/>
          <w:numId w:val="2"/>
        </w:numPr>
        <w:spacing w:after="80"/>
      </w:pPr>
      <w:r>
        <w:rPr>
          <w:rFonts w:ascii="Arial" w:cs="Arial" w:eastAsia="Arial" w:hAnsi="Arial"/>
          <w:sz w:val="22"/>
          <w:szCs w:val="22"/>
        </w:rPr>
        <w:t xml:space="preserve">Multiple disbursement support (full, partial, phased)</w:t>
      </w:r>
    </w:p>
    <w:p>
      <w:pPr>
        <w:pStyle w:val="ListParagraph"/>
        <w:numPr>
          <w:ilvl w:val="0"/>
          <w:numId w:val="2"/>
        </w:numPr>
        <w:spacing w:after="80"/>
      </w:pPr>
      <w:r>
        <w:rPr>
          <w:rFonts w:ascii="Arial" w:cs="Arial" w:eastAsia="Arial" w:hAnsi="Arial"/>
          <w:sz w:val="22"/>
          <w:szCs w:val="22"/>
        </w:rPr>
        <w:t xml:space="preserve">Third-party payment integration (vendor payments, insurance)</w:t>
      </w:r>
    </w:p>
    <w:p>
      <w:pPr>
        <w:pStyle w:val="ListParagraph"/>
        <w:numPr>
          <w:ilvl w:val="0"/>
          <w:numId w:val="2"/>
        </w:numPr>
        <w:spacing w:after="120"/>
      </w:pPr>
      <w:r>
        <w:rPr>
          <w:rFonts w:ascii="Arial" w:cs="Arial" w:eastAsia="Arial" w:hAnsi="Arial"/>
          <w:sz w:val="22"/>
          <w:szCs w:val="22"/>
        </w:rPr>
        <w:t xml:space="preserve">Auto-debit instruction setup for EMI collection</w:t>
      </w:r>
    </w:p>
    <w:p>
      <w:pPr>
        <w:pStyle w:val="Heading3"/>
        <w:spacing w:before="200" w:after="100"/>
      </w:pPr>
      <w:r>
        <w:rPr>
          <w:rFonts w:ascii="Arial" w:cs="Arial" w:eastAsia="Arial" w:hAnsi="Arial"/>
          <w:b/>
          <w:bCs/>
          <w:sz w:val="24"/>
          <w:szCs w:val="24"/>
        </w:rPr>
        <w:t xml:space="preserve">4.5.2 Repayment Management</w:t>
      </w:r>
    </w:p>
    <w:p>
      <w:pPr>
        <w:pStyle w:val="ListParagraph"/>
        <w:numPr>
          <w:ilvl w:val="0"/>
          <w:numId w:val="2"/>
        </w:numPr>
        <w:spacing w:after="80"/>
      </w:pPr>
      <w:r>
        <w:rPr>
          <w:rFonts w:ascii="Arial" w:cs="Arial" w:eastAsia="Arial" w:hAnsi="Arial"/>
          <w:sz w:val="22"/>
          <w:szCs w:val="22"/>
        </w:rPr>
        <w:t xml:space="preserve">Flexible repayment schedule (EMI, bullet, balloon, step-up/step-down)</w:t>
      </w:r>
    </w:p>
    <w:p>
      <w:pPr>
        <w:pStyle w:val="ListParagraph"/>
        <w:numPr>
          <w:ilvl w:val="0"/>
          <w:numId w:val="2"/>
        </w:numPr>
        <w:spacing w:after="80"/>
      </w:pPr>
      <w:r>
        <w:rPr>
          <w:rFonts w:ascii="Arial" w:cs="Arial" w:eastAsia="Arial" w:hAnsi="Arial"/>
          <w:sz w:val="22"/>
          <w:szCs w:val="22"/>
        </w:rPr>
        <w:t xml:space="preserve">Multiple collection channels (branch, ATM, mobile banking, agent banking)</w:t>
      </w:r>
    </w:p>
    <w:p>
      <w:pPr>
        <w:pStyle w:val="ListParagraph"/>
        <w:numPr>
          <w:ilvl w:val="0"/>
          <w:numId w:val="2"/>
        </w:numPr>
        <w:spacing w:after="80"/>
      </w:pPr>
      <w:r>
        <w:rPr>
          <w:rFonts w:ascii="Arial" w:cs="Arial" w:eastAsia="Arial" w:hAnsi="Arial"/>
          <w:sz w:val="22"/>
          <w:szCs w:val="22"/>
        </w:rPr>
        <w:t xml:space="preserve">NACH/ECS mandate management</w:t>
      </w:r>
    </w:p>
    <w:p>
      <w:pPr>
        <w:pStyle w:val="ListParagraph"/>
        <w:numPr>
          <w:ilvl w:val="0"/>
          <w:numId w:val="2"/>
        </w:numPr>
        <w:spacing w:after="80"/>
      </w:pPr>
      <w:r>
        <w:rPr>
          <w:rFonts w:ascii="Arial" w:cs="Arial" w:eastAsia="Arial" w:hAnsi="Arial"/>
          <w:sz w:val="22"/>
          <w:szCs w:val="22"/>
        </w:rPr>
        <w:t xml:space="preserve">Prepayment and part-payment handling</w:t>
      </w:r>
    </w:p>
    <w:p>
      <w:pPr>
        <w:pStyle w:val="ListParagraph"/>
        <w:numPr>
          <w:ilvl w:val="0"/>
          <w:numId w:val="2"/>
        </w:numPr>
        <w:spacing w:after="120"/>
      </w:pPr>
      <w:r>
        <w:rPr>
          <w:rFonts w:ascii="Arial" w:cs="Arial" w:eastAsia="Arial" w:hAnsi="Arial"/>
          <w:sz w:val="22"/>
          <w:szCs w:val="22"/>
        </w:rPr>
        <w:t xml:space="preserve">Auto re-amortization on prepayment</w:t>
      </w:r>
    </w:p>
    <w:p>
      <w:pPr>
        <w:pStyle w:val="Heading3"/>
        <w:spacing w:before="200" w:after="100"/>
      </w:pPr>
      <w:r>
        <w:rPr>
          <w:rFonts w:ascii="Arial" w:cs="Arial" w:eastAsia="Arial" w:hAnsi="Arial"/>
          <w:b/>
          <w:bCs/>
          <w:sz w:val="24"/>
          <w:szCs w:val="24"/>
        </w:rPr>
        <w:t xml:space="preserve">4.5.3 Loan Restructuring</w:t>
      </w:r>
    </w:p>
    <w:p>
      <w:pPr>
        <w:pStyle w:val="ListParagraph"/>
        <w:numPr>
          <w:ilvl w:val="0"/>
          <w:numId w:val="2"/>
        </w:numPr>
        <w:spacing w:after="80"/>
      </w:pPr>
      <w:r>
        <w:rPr>
          <w:rFonts w:ascii="Arial" w:cs="Arial" w:eastAsia="Arial" w:hAnsi="Arial"/>
          <w:sz w:val="22"/>
          <w:szCs w:val="22"/>
        </w:rPr>
        <w:t xml:space="preserve">Rescheduling workflow with Bangladesh Bank guideline compliance</w:t>
      </w:r>
    </w:p>
    <w:p>
      <w:pPr>
        <w:pStyle w:val="ListParagraph"/>
        <w:numPr>
          <w:ilvl w:val="0"/>
          <w:numId w:val="2"/>
        </w:numPr>
        <w:spacing w:after="80"/>
      </w:pPr>
      <w:r>
        <w:rPr>
          <w:rFonts w:ascii="Arial" w:cs="Arial" w:eastAsia="Arial" w:hAnsi="Arial"/>
          <w:sz w:val="22"/>
          <w:szCs w:val="22"/>
        </w:rPr>
        <w:t xml:space="preserve">Restructuring calculation engine</w:t>
      </w:r>
    </w:p>
    <w:p>
      <w:pPr>
        <w:pStyle w:val="ListParagraph"/>
        <w:numPr>
          <w:ilvl w:val="0"/>
          <w:numId w:val="2"/>
        </w:numPr>
        <w:spacing w:after="80"/>
      </w:pPr>
      <w:r>
        <w:rPr>
          <w:rFonts w:ascii="Arial" w:cs="Arial" w:eastAsia="Arial" w:hAnsi="Arial"/>
          <w:sz w:val="22"/>
          <w:szCs w:val="22"/>
        </w:rPr>
        <w:t xml:space="preserve">Moratorium period management</w:t>
      </w:r>
    </w:p>
    <w:p>
      <w:pPr>
        <w:pStyle w:val="ListParagraph"/>
        <w:numPr>
          <w:ilvl w:val="0"/>
          <w:numId w:val="2"/>
        </w:numPr>
        <w:spacing w:after="80"/>
      </w:pPr>
      <w:r>
        <w:rPr>
          <w:rFonts w:ascii="Arial" w:cs="Arial" w:eastAsia="Arial" w:hAnsi="Arial"/>
          <w:sz w:val="22"/>
          <w:szCs w:val="22"/>
        </w:rPr>
        <w:t xml:space="preserve">Interest waiver and write-off processing</w:t>
      </w:r>
    </w:p>
    <w:p>
      <w:pPr>
        <w:pStyle w:val="ListParagraph"/>
        <w:numPr>
          <w:ilvl w:val="0"/>
          <w:numId w:val="2"/>
        </w:numPr>
        <w:spacing w:after="120"/>
      </w:pPr>
      <w:r>
        <w:rPr>
          <w:rFonts w:ascii="Arial" w:cs="Arial" w:eastAsia="Arial" w:hAnsi="Arial"/>
          <w:sz w:val="22"/>
          <w:szCs w:val="22"/>
        </w:rPr>
        <w:t xml:space="preserve">Interest suspense account management</w:t>
      </w:r>
    </w:p>
    <w:p>
      <w:pPr>
        <w:pStyle w:val="Heading2"/>
        <w:spacing w:before="300" w:after="150"/>
      </w:pPr>
      <w:r>
        <w:rPr>
          <w:rFonts w:ascii="Arial" w:cs="Arial" w:eastAsia="Arial" w:hAnsi="Arial"/>
          <w:b/>
          <w:bCs/>
          <w:sz w:val="28"/>
          <w:szCs w:val="28"/>
        </w:rPr>
        <w:t xml:space="preserve">4.6 Collections and Recovery</w:t>
      </w:r>
    </w:p>
    <w:p>
      <w:pPr>
        <w:pStyle w:val="Heading3"/>
        <w:spacing w:before="200" w:after="100"/>
      </w:pPr>
      <w:r>
        <w:rPr>
          <w:rFonts w:ascii="Arial" w:cs="Arial" w:eastAsia="Arial" w:hAnsi="Arial"/>
          <w:b/>
          <w:bCs/>
          <w:sz w:val="24"/>
          <w:szCs w:val="24"/>
        </w:rPr>
        <w:t xml:space="preserve">4.6.1 Delinquency Management</w:t>
      </w:r>
    </w:p>
    <w:p>
      <w:pPr>
        <w:pStyle w:val="ListParagraph"/>
        <w:numPr>
          <w:ilvl w:val="0"/>
          <w:numId w:val="2"/>
        </w:numPr>
        <w:spacing w:after="80"/>
      </w:pPr>
      <w:r>
        <w:rPr>
          <w:rFonts w:ascii="Arial" w:cs="Arial" w:eastAsia="Arial" w:hAnsi="Arial"/>
          <w:sz w:val="22"/>
          <w:szCs w:val="22"/>
        </w:rPr>
        <w:t xml:space="preserve">Real-time Days Past Due (DPD) calculation</w:t>
      </w:r>
    </w:p>
    <w:p>
      <w:pPr>
        <w:pStyle w:val="ListParagraph"/>
        <w:numPr>
          <w:ilvl w:val="0"/>
          <w:numId w:val="2"/>
        </w:numPr>
        <w:spacing w:after="80"/>
      </w:pPr>
      <w:r>
        <w:rPr>
          <w:rFonts w:ascii="Arial" w:cs="Arial" w:eastAsia="Arial" w:hAnsi="Arial"/>
          <w:sz w:val="22"/>
          <w:szCs w:val="22"/>
        </w:rPr>
        <w:t xml:space="preserve">Automated SMA/NPA classification as per BRPD Circular</w:t>
      </w:r>
    </w:p>
    <w:p>
      <w:pPr>
        <w:pStyle w:val="ListParagraph"/>
        <w:numPr>
          <w:ilvl w:val="0"/>
          <w:numId w:val="2"/>
        </w:numPr>
        <w:spacing w:after="80"/>
      </w:pPr>
      <w:r>
        <w:rPr>
          <w:rFonts w:ascii="Arial" w:cs="Arial" w:eastAsia="Arial" w:hAnsi="Arial"/>
          <w:sz w:val="22"/>
          <w:szCs w:val="22"/>
        </w:rPr>
        <w:t xml:space="preserve">Bucket-wise portfolio aging reports</w:t>
      </w:r>
    </w:p>
    <w:p>
      <w:pPr>
        <w:pStyle w:val="ListParagraph"/>
        <w:numPr>
          <w:ilvl w:val="0"/>
          <w:numId w:val="2"/>
        </w:numPr>
        <w:spacing w:after="80"/>
      </w:pPr>
      <w:r>
        <w:rPr>
          <w:rFonts w:ascii="Arial" w:cs="Arial" w:eastAsia="Arial" w:hAnsi="Arial"/>
          <w:sz w:val="22"/>
          <w:szCs w:val="22"/>
        </w:rPr>
        <w:t xml:space="preserve">SMS/Email reminder automation</w:t>
      </w:r>
    </w:p>
    <w:p>
      <w:pPr>
        <w:pStyle w:val="ListParagraph"/>
        <w:numPr>
          <w:ilvl w:val="0"/>
          <w:numId w:val="2"/>
        </w:numPr>
        <w:spacing w:after="120"/>
      </w:pPr>
      <w:r>
        <w:rPr>
          <w:rFonts w:ascii="Arial" w:cs="Arial" w:eastAsia="Arial" w:hAnsi="Arial"/>
          <w:sz w:val="22"/>
          <w:szCs w:val="22"/>
        </w:rPr>
        <w:t xml:space="preserve">Collection strategy automation based on risk segment</w:t>
      </w:r>
    </w:p>
    <w:p>
      <w:pPr>
        <w:pStyle w:val="Heading3"/>
        <w:spacing w:before="200" w:after="100"/>
      </w:pPr>
      <w:r>
        <w:rPr>
          <w:rFonts w:ascii="Arial" w:cs="Arial" w:eastAsia="Arial" w:hAnsi="Arial"/>
          <w:b/>
          <w:bCs/>
          <w:sz w:val="24"/>
          <w:szCs w:val="24"/>
        </w:rPr>
        <w:t xml:space="preserve">4.6.2 NPA Management</w:t>
      </w:r>
    </w:p>
    <w:p>
      <w:pPr>
        <w:pStyle w:val="ListParagraph"/>
        <w:numPr>
          <w:ilvl w:val="0"/>
          <w:numId w:val="2"/>
        </w:numPr>
        <w:spacing w:after="80"/>
      </w:pPr>
      <w:r>
        <w:rPr>
          <w:rFonts w:ascii="Arial" w:cs="Arial" w:eastAsia="Arial" w:hAnsi="Arial"/>
          <w:sz w:val="22"/>
          <w:szCs w:val="22"/>
        </w:rPr>
        <w:t xml:space="preserve">Loan classification (STD, SMA, SS, DF, B/L) per Bangladesh Bank guidelines</w:t>
      </w:r>
    </w:p>
    <w:p>
      <w:pPr>
        <w:pStyle w:val="ListParagraph"/>
        <w:numPr>
          <w:ilvl w:val="0"/>
          <w:numId w:val="2"/>
        </w:numPr>
        <w:spacing w:after="80"/>
      </w:pPr>
      <w:r>
        <w:rPr>
          <w:rFonts w:ascii="Arial" w:cs="Arial" w:eastAsia="Arial" w:hAnsi="Arial"/>
          <w:sz w:val="22"/>
          <w:szCs w:val="22"/>
        </w:rPr>
        <w:t xml:space="preserve">Provisioning calculation engine (current and IFRS-9 ECL model)</w:t>
      </w:r>
    </w:p>
    <w:p>
      <w:pPr>
        <w:pStyle w:val="ListParagraph"/>
        <w:numPr>
          <w:ilvl w:val="0"/>
          <w:numId w:val="2"/>
        </w:numPr>
        <w:spacing w:after="80"/>
      </w:pPr>
      <w:r>
        <w:rPr>
          <w:rFonts w:ascii="Arial" w:cs="Arial" w:eastAsia="Arial" w:hAnsi="Arial"/>
          <w:sz w:val="22"/>
          <w:szCs w:val="22"/>
        </w:rPr>
        <w:t xml:space="preserve">Legal case tracking and suit filing automation</w:t>
      </w:r>
    </w:p>
    <w:p>
      <w:pPr>
        <w:pStyle w:val="ListParagraph"/>
        <w:numPr>
          <w:ilvl w:val="0"/>
          <w:numId w:val="2"/>
        </w:numPr>
        <w:spacing w:after="80"/>
      </w:pPr>
      <w:r>
        <w:rPr>
          <w:rFonts w:ascii="Arial" w:cs="Arial" w:eastAsia="Arial" w:hAnsi="Arial"/>
          <w:sz w:val="22"/>
          <w:szCs w:val="22"/>
        </w:rPr>
        <w:t xml:space="preserve">Recovery tracking and settlement management</w:t>
      </w:r>
    </w:p>
    <w:p>
      <w:pPr>
        <w:pStyle w:val="ListParagraph"/>
        <w:numPr>
          <w:ilvl w:val="0"/>
          <w:numId w:val="2"/>
        </w:numPr>
        <w:spacing w:after="120"/>
      </w:pPr>
      <w:r>
        <w:rPr>
          <w:rFonts w:ascii="Arial" w:cs="Arial" w:eastAsia="Arial" w:hAnsi="Arial"/>
          <w:sz w:val="22"/>
          <w:szCs w:val="22"/>
        </w:rPr>
        <w:t xml:space="preserve">Write-off processing with Board approval workflow</w:t>
      </w:r>
    </w:p>
    <w:p>
      <w:r>
        <w:br w:type="page"/>
      </w:r>
    </w:p>
    <w:p>
      <w:pPr>
        <w:pStyle w:val="Heading1"/>
        <w:spacing w:before="400" w:after="200"/>
      </w:pPr>
      <w:r>
        <w:rPr>
          <w:rFonts w:ascii="Arial" w:cs="Arial" w:eastAsia="Arial" w:hAnsi="Arial"/>
          <w:b/>
          <w:bCs/>
          <w:sz w:val="32"/>
          <w:szCs w:val="32"/>
        </w:rPr>
        <w:t xml:space="preserve">5. REGULATORY COMPLIANCE REQUIREMENTS</w:t>
      </w:r>
    </w:p>
    <w:p>
      <w:pPr>
        <w:pStyle w:val="Heading2"/>
        <w:spacing w:before="300" w:after="150"/>
      </w:pPr>
      <w:r>
        <w:rPr>
          <w:rFonts w:ascii="Arial" w:cs="Arial" w:eastAsia="Arial" w:hAnsi="Arial"/>
          <w:b/>
          <w:bCs/>
          <w:sz w:val="28"/>
          <w:szCs w:val="28"/>
        </w:rPr>
        <w:t xml:space="preserve">5.1 Bangladesh Bank Prudential Regulations</w:t>
      </w:r>
    </w:p>
    <w:p>
      <w:pPr>
        <w:spacing w:after="120"/>
        <w:jc w:val="both"/>
      </w:pPr>
      <w:r>
        <w:rPr>
          <w:rFonts w:ascii="Arial" w:cs="Arial" w:eastAsia="Arial" w:hAnsi="Arial"/>
          <w:sz w:val="22"/>
          <w:szCs w:val="22"/>
        </w:rPr>
        <w:t xml:space="preserve">The LMS must ensure compliance with the following Bangladesh Bank regulations: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Regulation/Guideline</w:t>
            </w:r>
          </w:p>
        </w:tc>
        <w:tc>
          <w:tcPr>
            <w:tcW w:type="dxa" w:w="62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Compliance Requirements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BRPD Circulars</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classification, provisioning, rescheduling guidelines, large loan policy</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 III RBCA</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 adequacy (12.5% CAR), Tier 1 leverage ratio (4% by 2026)</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LCR/NSFR</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Liquidity Coverage Ratio &gt;= 100%, Net Stable Funding Ratio &gt; 100%</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BFIU Guidelines</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AML/KYC compliance, STR reporting, sanction screening</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e-KYC Guidelines</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NID verification, biometric authentication, simplified/regular e-KYC</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Banking</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minimum green finance allocation, ESDD risk assessment tool</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IFRS-9 ECL</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Credit Loss provisioning model (mandatory by Dec 2027)</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ADR Limits</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 to Deposit Ratio compliance monitoring</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Borrower Exposure</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25% of capital for single borrower/group</w:t>
            </w:r>
          </w:p>
        </w:tc>
      </w:tr>
    </w:tbl>
    <w:p>
      <w:pPr>
        <w:spacing w:after="200"/>
      </w:pPr>
    </w:p>
    <w:p>
      <w:pPr>
        <w:pStyle w:val="Heading2"/>
        <w:spacing w:before="300" w:after="150"/>
      </w:pPr>
      <w:r>
        <w:rPr>
          <w:rFonts w:ascii="Arial" w:cs="Arial" w:eastAsia="Arial" w:hAnsi="Arial"/>
          <w:b/>
          <w:bCs/>
          <w:sz w:val="28"/>
          <w:szCs w:val="28"/>
        </w:rPr>
        <w:t xml:space="preserve">5.2 AML/CFT Compliance</w:t>
      </w:r>
    </w:p>
    <w:p>
      <w:pPr>
        <w:pStyle w:val="Heading3"/>
        <w:spacing w:before="200" w:after="100"/>
      </w:pPr>
      <w:r>
        <w:rPr>
          <w:rFonts w:ascii="Arial" w:cs="Arial" w:eastAsia="Arial" w:hAnsi="Arial"/>
          <w:b/>
          <w:bCs/>
          <w:sz w:val="24"/>
          <w:szCs w:val="24"/>
        </w:rPr>
        <w:t xml:space="preserve">5.2.1 BFIU Reporting Requirements</w:t>
      </w:r>
    </w:p>
    <w:p>
      <w:pPr>
        <w:pStyle w:val="ListParagraph"/>
        <w:numPr>
          <w:ilvl w:val="0"/>
          <w:numId w:val="2"/>
        </w:numPr>
        <w:spacing w:after="80"/>
      </w:pPr>
      <w:r>
        <w:rPr>
          <w:rFonts w:ascii="Arial" w:cs="Arial" w:eastAsia="Arial" w:hAnsi="Arial"/>
          <w:sz w:val="22"/>
          <w:szCs w:val="22"/>
        </w:rPr>
        <w:t xml:space="preserve">Suspicious Transaction Report (STR) generation and submission</w:t>
      </w:r>
    </w:p>
    <w:p>
      <w:pPr>
        <w:pStyle w:val="ListParagraph"/>
        <w:numPr>
          <w:ilvl w:val="0"/>
          <w:numId w:val="2"/>
        </w:numPr>
        <w:spacing w:after="80"/>
      </w:pPr>
      <w:r>
        <w:rPr>
          <w:rFonts w:ascii="Arial" w:cs="Arial" w:eastAsia="Arial" w:hAnsi="Arial"/>
          <w:sz w:val="22"/>
          <w:szCs w:val="22"/>
        </w:rPr>
        <w:t xml:space="preserve">Cash Transaction Report (CTR) for transactions above threshold</w:t>
      </w:r>
    </w:p>
    <w:p>
      <w:pPr>
        <w:pStyle w:val="ListParagraph"/>
        <w:numPr>
          <w:ilvl w:val="0"/>
          <w:numId w:val="2"/>
        </w:numPr>
        <w:spacing w:after="80"/>
      </w:pPr>
      <w:r>
        <w:rPr>
          <w:rFonts w:ascii="Arial" w:cs="Arial" w:eastAsia="Arial" w:hAnsi="Arial"/>
          <w:sz w:val="22"/>
          <w:szCs w:val="22"/>
        </w:rPr>
        <w:t xml:space="preserve">UN Security Council sanction list screening (UNSCR-1267, UNSCR-1373)</w:t>
      </w:r>
    </w:p>
    <w:p>
      <w:pPr>
        <w:pStyle w:val="ListParagraph"/>
        <w:numPr>
          <w:ilvl w:val="0"/>
          <w:numId w:val="2"/>
        </w:numPr>
        <w:spacing w:after="80"/>
      </w:pPr>
      <w:r>
        <w:rPr>
          <w:rFonts w:ascii="Arial" w:cs="Arial" w:eastAsia="Arial" w:hAnsi="Arial"/>
          <w:sz w:val="22"/>
          <w:szCs w:val="22"/>
        </w:rPr>
        <w:t xml:space="preserve">PEP (Politically Exposed Person) screening</w:t>
      </w:r>
    </w:p>
    <w:p>
      <w:pPr>
        <w:pStyle w:val="ListParagraph"/>
        <w:numPr>
          <w:ilvl w:val="0"/>
          <w:numId w:val="2"/>
        </w:numPr>
        <w:spacing w:after="120"/>
      </w:pPr>
      <w:r>
        <w:rPr>
          <w:rFonts w:ascii="Arial" w:cs="Arial" w:eastAsia="Arial" w:hAnsi="Arial"/>
          <w:sz w:val="22"/>
          <w:szCs w:val="22"/>
        </w:rPr>
        <w:t xml:space="preserve">Transaction monitoring for unusual patterns</w:t>
      </w:r>
    </w:p>
    <w:p>
      <w:pPr>
        <w:pStyle w:val="Heading3"/>
        <w:spacing w:before="200" w:after="100"/>
      </w:pPr>
      <w:r>
        <w:rPr>
          <w:rFonts w:ascii="Arial" w:cs="Arial" w:eastAsia="Arial" w:hAnsi="Arial"/>
          <w:b/>
          <w:bCs/>
          <w:sz w:val="24"/>
          <w:szCs w:val="24"/>
        </w:rPr>
        <w:t xml:space="preserve">5.2.2 Risk-Based Approach</w:t>
      </w:r>
    </w:p>
    <w:p>
      <w:pPr>
        <w:pStyle w:val="ListParagraph"/>
        <w:numPr>
          <w:ilvl w:val="0"/>
          <w:numId w:val="2"/>
        </w:numPr>
        <w:spacing w:after="80"/>
      </w:pPr>
      <w:r>
        <w:rPr>
          <w:rFonts w:ascii="Arial" w:cs="Arial" w:eastAsia="Arial" w:hAnsi="Arial"/>
          <w:sz w:val="22"/>
          <w:szCs w:val="22"/>
        </w:rPr>
        <w:t xml:space="preserve">Customer risk categorization (High, Medium, Low)</w:t>
      </w:r>
    </w:p>
    <w:p>
      <w:pPr>
        <w:pStyle w:val="ListParagraph"/>
        <w:numPr>
          <w:ilvl w:val="0"/>
          <w:numId w:val="2"/>
        </w:numPr>
        <w:spacing w:after="80"/>
      </w:pPr>
      <w:r>
        <w:rPr>
          <w:rFonts w:ascii="Arial" w:cs="Arial" w:eastAsia="Arial" w:hAnsi="Arial"/>
          <w:sz w:val="22"/>
          <w:szCs w:val="22"/>
        </w:rPr>
        <w:t xml:space="preserve">Enhanced Due Diligence (EDD) workflow for high-risk customers</w:t>
      </w:r>
    </w:p>
    <w:p>
      <w:pPr>
        <w:pStyle w:val="ListParagraph"/>
        <w:numPr>
          <w:ilvl w:val="0"/>
          <w:numId w:val="2"/>
        </w:numPr>
        <w:spacing w:after="80"/>
      </w:pPr>
      <w:r>
        <w:rPr>
          <w:rFonts w:ascii="Arial" w:cs="Arial" w:eastAsia="Arial" w:hAnsi="Arial"/>
          <w:sz w:val="22"/>
          <w:szCs w:val="22"/>
        </w:rPr>
        <w:t xml:space="preserve">Beneficial ownership identification and verification</w:t>
      </w:r>
    </w:p>
    <w:p>
      <w:pPr>
        <w:pStyle w:val="ListParagraph"/>
        <w:numPr>
          <w:ilvl w:val="0"/>
          <w:numId w:val="2"/>
        </w:numPr>
        <w:spacing w:after="120"/>
      </w:pPr>
      <w:r>
        <w:rPr>
          <w:rFonts w:ascii="Arial" w:cs="Arial" w:eastAsia="Arial" w:hAnsi="Arial"/>
          <w:sz w:val="22"/>
          <w:szCs w:val="22"/>
        </w:rPr>
        <w:t xml:space="preserve">Record retention for minimum 5 years post relationship closure</w:t>
      </w:r>
    </w:p>
    <w:p>
      <w:r>
        <w:br w:type="page"/>
      </w:r>
    </w:p>
    <w:p>
      <w:pPr>
        <w:pStyle w:val="Heading1"/>
        <w:spacing w:before="400" w:after="200"/>
      </w:pPr>
      <w:r>
        <w:rPr>
          <w:rFonts w:ascii="Arial" w:cs="Arial" w:eastAsia="Arial" w:hAnsi="Arial"/>
          <w:b/>
          <w:bCs/>
          <w:sz w:val="32"/>
          <w:szCs w:val="32"/>
        </w:rPr>
        <w:t xml:space="preserve">6. TECHNICAL REQUIREMENTS</w:t>
      </w:r>
    </w:p>
    <w:p>
      <w:pPr>
        <w:pStyle w:val="Heading2"/>
        <w:spacing w:before="300" w:after="150"/>
      </w:pPr>
      <w:r>
        <w:rPr>
          <w:rFonts w:ascii="Arial" w:cs="Arial" w:eastAsia="Arial" w:hAnsi="Arial"/>
          <w:b/>
          <w:bCs/>
          <w:sz w:val="28"/>
          <w:szCs w:val="28"/>
        </w:rPr>
        <w:t xml:space="preserve">6.1 System Architecture</w:t>
      </w:r>
    </w:p>
    <w:p>
      <w:pPr>
        <w:pStyle w:val="Heading3"/>
        <w:spacing w:before="200" w:after="100"/>
      </w:pPr>
      <w:r>
        <w:rPr>
          <w:rFonts w:ascii="Arial" w:cs="Arial" w:eastAsia="Arial" w:hAnsi="Arial"/>
          <w:b/>
          <w:bCs/>
          <w:sz w:val="24"/>
          <w:szCs w:val="24"/>
        </w:rPr>
        <w:t xml:space="preserve">6.1.1 Architecture Principles</w:t>
      </w:r>
    </w:p>
    <w:p>
      <w:pPr>
        <w:pStyle w:val="ListParagraph"/>
        <w:numPr>
          <w:ilvl w:val="0"/>
          <w:numId w:val="2"/>
        </w:numPr>
        <w:spacing w:after="80"/>
      </w:pPr>
      <w:r>
        <w:rPr>
          <w:rFonts w:ascii="Arial" w:cs="Arial" w:eastAsia="Arial" w:hAnsi="Arial"/>
          <w:sz w:val="22"/>
          <w:szCs w:val="22"/>
        </w:rPr>
        <w:t xml:space="preserve">Microservices-based architecture for modularity and scalability</w:t>
      </w:r>
    </w:p>
    <w:p>
      <w:pPr>
        <w:pStyle w:val="ListParagraph"/>
        <w:numPr>
          <w:ilvl w:val="0"/>
          <w:numId w:val="2"/>
        </w:numPr>
        <w:spacing w:after="80"/>
      </w:pPr>
      <w:r>
        <w:rPr>
          <w:rFonts w:ascii="Arial" w:cs="Arial" w:eastAsia="Arial" w:hAnsi="Arial"/>
          <w:sz w:val="22"/>
          <w:szCs w:val="22"/>
        </w:rPr>
        <w:t xml:space="preserve">API-first design with RESTful services</w:t>
      </w:r>
    </w:p>
    <w:p>
      <w:pPr>
        <w:pStyle w:val="ListParagraph"/>
        <w:numPr>
          <w:ilvl w:val="0"/>
          <w:numId w:val="2"/>
        </w:numPr>
        <w:spacing w:after="80"/>
      </w:pPr>
      <w:r>
        <w:rPr>
          <w:rFonts w:ascii="Arial" w:cs="Arial" w:eastAsia="Arial" w:hAnsi="Arial"/>
          <w:sz w:val="22"/>
          <w:szCs w:val="22"/>
        </w:rPr>
        <w:t xml:space="preserve">Cloud-native or hybrid deployment capability</w:t>
      </w:r>
    </w:p>
    <w:p>
      <w:pPr>
        <w:pStyle w:val="ListParagraph"/>
        <w:numPr>
          <w:ilvl w:val="0"/>
          <w:numId w:val="2"/>
        </w:numPr>
        <w:spacing w:after="80"/>
      </w:pPr>
      <w:r>
        <w:rPr>
          <w:rFonts w:ascii="Arial" w:cs="Arial" w:eastAsia="Arial" w:hAnsi="Arial"/>
          <w:sz w:val="22"/>
          <w:szCs w:val="22"/>
        </w:rPr>
        <w:t xml:space="preserve">Containerization support (Docker/Kubernetes)</w:t>
      </w:r>
    </w:p>
    <w:p>
      <w:pPr>
        <w:pStyle w:val="ListParagraph"/>
        <w:numPr>
          <w:ilvl w:val="0"/>
          <w:numId w:val="2"/>
        </w:numPr>
        <w:spacing w:after="120"/>
      </w:pPr>
      <w:r>
        <w:rPr>
          <w:rFonts w:ascii="Arial" w:cs="Arial" w:eastAsia="Arial" w:hAnsi="Arial"/>
          <w:sz w:val="22"/>
          <w:szCs w:val="22"/>
        </w:rPr>
        <w:t xml:space="preserve">Event-driven architecture for real-time processing</w:t>
      </w:r>
    </w:p>
    <w:p>
      <w:pPr>
        <w:pStyle w:val="Heading3"/>
        <w:spacing w:before="200" w:after="100"/>
      </w:pPr>
      <w:r>
        <w:rPr>
          <w:rFonts w:ascii="Arial" w:cs="Arial" w:eastAsia="Arial" w:hAnsi="Arial"/>
          <w:b/>
          <w:bCs/>
          <w:sz w:val="24"/>
          <w:szCs w:val="24"/>
        </w:rPr>
        <w:t xml:space="preserve">6.1.2 Recommended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Options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React.js, Angular, Vue.js, or Thymeleaf with responsive design</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 (Spring Boot), .NET Core, or Node.js with microservices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PostgreSQL, or MySQL (RDBMS); MongoDB (Document store)</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Queue</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Kafka, RabbitMQ for async processing</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Management</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LogicalDOC, Alfresco, or equivalent DMS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Reporting</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JasperReports, BIRT, or Power BI integration</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Gateway</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Kong, AWS API Gateway, or Spring Cloud Gateway</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Security, OAuth 2.0, JWT, PKI-based digital signatures</w:t>
            </w:r>
          </w:p>
        </w:tc>
      </w:tr>
    </w:tbl>
    <w:p>
      <w:pPr>
        <w:spacing w:after="200"/>
      </w:pPr>
    </w:p>
    <w:p>
      <w:pPr>
        <w:pStyle w:val="Heading2"/>
        <w:spacing w:before="300" w:after="150"/>
      </w:pPr>
      <w:r>
        <w:rPr>
          <w:rFonts w:ascii="Arial" w:cs="Arial" w:eastAsia="Arial" w:hAnsi="Arial"/>
          <w:b/>
          <w:bCs/>
          <w:sz w:val="28"/>
          <w:szCs w:val="28"/>
        </w:rPr>
        <w:t xml:space="preserve">6.2 Integration Requirements</w:t>
      </w:r>
    </w:p>
    <w:p>
      <w:pPr>
        <w:pStyle w:val="Heading3"/>
        <w:spacing w:before="200" w:after="100"/>
      </w:pPr>
      <w:r>
        <w:rPr>
          <w:rFonts w:ascii="Arial" w:cs="Arial" w:eastAsia="Arial" w:hAnsi="Arial"/>
          <w:b/>
          <w:bCs/>
          <w:sz w:val="24"/>
          <w:szCs w:val="24"/>
        </w:rPr>
        <w:t xml:space="preserve">6.2.1 Mandatory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2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Purpose</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Banking System (CBS)</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data, account management, limit loading, GL posting</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CIB Online System</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inquiry, loan classification verification</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NID Database (NIDW)</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e-KYC verification, biometric authentication</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 Management System</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card limit management, card issuance</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Gateway</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notifications, approval alerts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Gateway</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payment reminders, status updates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AML System</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Sanction screening, transaction monitoring</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FTP Server</w:t>
            </w:r>
          </w:p>
        </w:tc>
        <w:tc>
          <w:tcPr>
            <w:tcW w:type="dxa" w:w="62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file transfers, regulatory reporting</w:t>
            </w:r>
          </w:p>
        </w:tc>
      </w:tr>
    </w:tbl>
    <w:p>
      <w:pPr>
        <w:spacing w:after="200"/>
      </w:pPr>
    </w:p>
    <w:p>
      <w:pPr>
        <w:pStyle w:val="Heading2"/>
        <w:spacing w:before="300" w:after="150"/>
      </w:pPr>
      <w:r>
        <w:rPr>
          <w:rFonts w:ascii="Arial" w:cs="Arial" w:eastAsia="Arial" w:hAnsi="Arial"/>
          <w:b/>
          <w:bCs/>
          <w:sz w:val="28"/>
          <w:szCs w:val="28"/>
        </w:rPr>
        <w:t xml:space="preserve">6.3 Security Requirements</w:t>
      </w:r>
    </w:p>
    <w:p>
      <w:pPr>
        <w:pStyle w:val="Heading3"/>
        <w:spacing w:before="200" w:after="100"/>
      </w:pPr>
      <w:r>
        <w:rPr>
          <w:rFonts w:ascii="Arial" w:cs="Arial" w:eastAsia="Arial" w:hAnsi="Arial"/>
          <w:b/>
          <w:bCs/>
          <w:sz w:val="24"/>
          <w:szCs w:val="24"/>
        </w:rPr>
        <w:t xml:space="preserve">6.3.1 Data Security</w:t>
      </w:r>
    </w:p>
    <w:p>
      <w:pPr>
        <w:pStyle w:val="ListParagraph"/>
        <w:numPr>
          <w:ilvl w:val="0"/>
          <w:numId w:val="2"/>
        </w:numPr>
        <w:spacing w:after="80"/>
      </w:pPr>
      <w:r>
        <w:rPr>
          <w:rFonts w:ascii="Arial" w:cs="Arial" w:eastAsia="Arial" w:hAnsi="Arial"/>
          <w:sz w:val="22"/>
          <w:szCs w:val="22"/>
        </w:rPr>
        <w:t xml:space="preserve">AES-256 encryption for data at rest</w:t>
      </w:r>
    </w:p>
    <w:p>
      <w:pPr>
        <w:pStyle w:val="ListParagraph"/>
        <w:numPr>
          <w:ilvl w:val="0"/>
          <w:numId w:val="2"/>
        </w:numPr>
        <w:spacing w:after="80"/>
      </w:pPr>
      <w:r>
        <w:rPr>
          <w:rFonts w:ascii="Arial" w:cs="Arial" w:eastAsia="Arial" w:hAnsi="Arial"/>
          <w:sz w:val="22"/>
          <w:szCs w:val="22"/>
        </w:rPr>
        <w:t xml:space="preserve">TLS 1.3 for data in transit</w:t>
      </w:r>
    </w:p>
    <w:p>
      <w:pPr>
        <w:pStyle w:val="ListParagraph"/>
        <w:numPr>
          <w:ilvl w:val="0"/>
          <w:numId w:val="2"/>
        </w:numPr>
        <w:spacing w:after="80"/>
      </w:pPr>
      <w:r>
        <w:rPr>
          <w:rFonts w:ascii="Arial" w:cs="Arial" w:eastAsia="Arial" w:hAnsi="Arial"/>
          <w:sz w:val="22"/>
          <w:szCs w:val="22"/>
        </w:rPr>
        <w:t xml:space="preserve">Field-level encryption for sensitive data (NID, account numbers)</w:t>
      </w:r>
    </w:p>
    <w:p>
      <w:pPr>
        <w:pStyle w:val="ListParagraph"/>
        <w:numPr>
          <w:ilvl w:val="0"/>
          <w:numId w:val="2"/>
        </w:numPr>
        <w:spacing w:after="80"/>
      </w:pPr>
      <w:r>
        <w:rPr>
          <w:rFonts w:ascii="Arial" w:cs="Arial" w:eastAsia="Arial" w:hAnsi="Arial"/>
          <w:sz w:val="22"/>
          <w:szCs w:val="22"/>
        </w:rPr>
        <w:t xml:space="preserve">Data masking for non-production environments</w:t>
      </w:r>
    </w:p>
    <w:p>
      <w:pPr>
        <w:pStyle w:val="ListParagraph"/>
        <w:numPr>
          <w:ilvl w:val="0"/>
          <w:numId w:val="2"/>
        </w:numPr>
        <w:spacing w:after="120"/>
      </w:pPr>
      <w:r>
        <w:rPr>
          <w:rFonts w:ascii="Arial" w:cs="Arial" w:eastAsia="Arial" w:hAnsi="Arial"/>
          <w:sz w:val="22"/>
          <w:szCs w:val="22"/>
        </w:rPr>
        <w:t xml:space="preserve">HSM integration for cryptographic key management</w:t>
      </w:r>
    </w:p>
    <w:p>
      <w:pPr>
        <w:pStyle w:val="Heading3"/>
        <w:spacing w:before="200" w:after="100"/>
      </w:pPr>
      <w:r>
        <w:rPr>
          <w:rFonts w:ascii="Arial" w:cs="Arial" w:eastAsia="Arial" w:hAnsi="Arial"/>
          <w:b/>
          <w:bCs/>
          <w:sz w:val="24"/>
          <w:szCs w:val="24"/>
        </w:rPr>
        <w:t xml:space="preserve">6.3.2 Access Control</w:t>
      </w:r>
    </w:p>
    <w:p>
      <w:pPr>
        <w:pStyle w:val="ListParagraph"/>
        <w:numPr>
          <w:ilvl w:val="0"/>
          <w:numId w:val="2"/>
        </w:numPr>
        <w:spacing w:after="80"/>
      </w:pPr>
      <w:r>
        <w:rPr>
          <w:rFonts w:ascii="Arial" w:cs="Arial" w:eastAsia="Arial" w:hAnsi="Arial"/>
          <w:sz w:val="22"/>
          <w:szCs w:val="22"/>
        </w:rPr>
        <w:t xml:space="preserve">Role-Based Access Control (RBAC) with fine-grained permissions</w:t>
      </w:r>
    </w:p>
    <w:p>
      <w:pPr>
        <w:pStyle w:val="ListParagraph"/>
        <w:numPr>
          <w:ilvl w:val="0"/>
          <w:numId w:val="2"/>
        </w:numPr>
        <w:spacing w:after="80"/>
      </w:pPr>
      <w:r>
        <w:rPr>
          <w:rFonts w:ascii="Arial" w:cs="Arial" w:eastAsia="Arial" w:hAnsi="Arial"/>
          <w:sz w:val="22"/>
          <w:szCs w:val="22"/>
        </w:rPr>
        <w:t xml:space="preserve">Multi-Factor Authentication (MFA) for all users</w:t>
      </w:r>
    </w:p>
    <w:p>
      <w:pPr>
        <w:pStyle w:val="ListParagraph"/>
        <w:numPr>
          <w:ilvl w:val="0"/>
          <w:numId w:val="2"/>
        </w:numPr>
        <w:spacing w:after="80"/>
      </w:pPr>
      <w:r>
        <w:rPr>
          <w:rFonts w:ascii="Arial" w:cs="Arial" w:eastAsia="Arial" w:hAnsi="Arial"/>
          <w:sz w:val="22"/>
          <w:szCs w:val="22"/>
        </w:rPr>
        <w:t xml:space="preserve">Single Sign-On (SSO) with LDAP/Active Directory integration</w:t>
      </w:r>
    </w:p>
    <w:p>
      <w:pPr>
        <w:pStyle w:val="ListParagraph"/>
        <w:numPr>
          <w:ilvl w:val="0"/>
          <w:numId w:val="2"/>
        </w:numPr>
        <w:spacing w:after="80"/>
      </w:pPr>
      <w:r>
        <w:rPr>
          <w:rFonts w:ascii="Arial" w:cs="Arial" w:eastAsia="Arial" w:hAnsi="Arial"/>
          <w:sz w:val="22"/>
          <w:szCs w:val="22"/>
        </w:rPr>
        <w:t xml:space="preserve">Session management with automatic timeout</w:t>
      </w:r>
    </w:p>
    <w:p>
      <w:pPr>
        <w:pStyle w:val="ListParagraph"/>
        <w:numPr>
          <w:ilvl w:val="0"/>
          <w:numId w:val="2"/>
        </w:numPr>
        <w:spacing w:after="120"/>
      </w:pPr>
      <w:r>
        <w:rPr>
          <w:rFonts w:ascii="Arial" w:cs="Arial" w:eastAsia="Arial" w:hAnsi="Arial"/>
          <w:sz w:val="22"/>
          <w:szCs w:val="22"/>
        </w:rPr>
        <w:t xml:space="preserve">Audit logging for all system activities</w:t>
      </w:r>
    </w:p>
    <w:p>
      <w:pPr>
        <w:pStyle w:val="Heading3"/>
        <w:spacing w:before="200" w:after="100"/>
      </w:pPr>
      <w:r>
        <w:rPr>
          <w:rFonts w:ascii="Arial" w:cs="Arial" w:eastAsia="Arial" w:hAnsi="Arial"/>
          <w:b/>
          <w:bCs/>
          <w:sz w:val="24"/>
          <w:szCs w:val="24"/>
        </w:rPr>
        <w:t xml:space="preserve">6.3.3 Compliance with BB ICT Guidelines</w:t>
      </w:r>
    </w:p>
    <w:p>
      <w:pPr>
        <w:pStyle w:val="ListParagraph"/>
        <w:numPr>
          <w:ilvl w:val="0"/>
          <w:numId w:val="2"/>
        </w:numPr>
        <w:spacing w:after="80"/>
      </w:pPr>
      <w:r>
        <w:rPr>
          <w:rFonts w:ascii="Arial" w:cs="Arial" w:eastAsia="Arial" w:hAnsi="Arial"/>
          <w:sz w:val="22"/>
          <w:szCs w:val="22"/>
        </w:rPr>
        <w:t xml:space="preserve">Compliance with 'Guidelines on ICT Security' Version 4.0, 2023</w:t>
      </w:r>
    </w:p>
    <w:p>
      <w:pPr>
        <w:pStyle w:val="ListParagraph"/>
        <w:numPr>
          <w:ilvl w:val="0"/>
          <w:numId w:val="2"/>
        </w:numPr>
        <w:spacing w:after="80"/>
      </w:pPr>
      <w:r>
        <w:rPr>
          <w:rFonts w:ascii="Arial" w:cs="Arial" w:eastAsia="Arial" w:hAnsi="Arial"/>
          <w:sz w:val="22"/>
          <w:szCs w:val="22"/>
        </w:rPr>
        <w:t xml:space="preserve">Adherence to 'Core Banking Solution (CBS) Features and Controls' Version 2.0</w:t>
      </w:r>
    </w:p>
    <w:p>
      <w:pPr>
        <w:pStyle w:val="ListParagraph"/>
        <w:numPr>
          <w:ilvl w:val="0"/>
          <w:numId w:val="2"/>
        </w:numPr>
        <w:spacing w:after="80"/>
      </w:pPr>
      <w:r>
        <w:rPr>
          <w:rFonts w:ascii="Arial" w:cs="Arial" w:eastAsia="Arial" w:hAnsi="Arial"/>
          <w:sz w:val="22"/>
          <w:szCs w:val="22"/>
        </w:rPr>
        <w:t xml:space="preserve">Cloud Computing Guidelines Version 1.0 compliance (if cloud-deployed)</w:t>
      </w:r>
    </w:p>
    <w:p>
      <w:pPr>
        <w:pStyle w:val="ListParagraph"/>
        <w:numPr>
          <w:ilvl w:val="0"/>
          <w:numId w:val="2"/>
        </w:numPr>
        <w:spacing w:after="120"/>
      </w:pPr>
      <w:r>
        <w:rPr>
          <w:rFonts w:ascii="Arial" w:cs="Arial" w:eastAsia="Arial" w:hAnsi="Arial"/>
          <w:sz w:val="22"/>
          <w:szCs w:val="22"/>
        </w:rPr>
        <w:t xml:space="preserve">ICT Business Continuity Plan (ICT-BCP) and Disaster Recovery capabilities</w:t>
      </w:r>
    </w:p>
    <w:p>
      <w:r>
        <w:br w:type="page"/>
      </w:r>
    </w:p>
    <w:p>
      <w:pPr>
        <w:pStyle w:val="Heading1"/>
        <w:spacing w:before="400" w:after="200"/>
      </w:pPr>
      <w:r>
        <w:rPr>
          <w:rFonts w:ascii="Arial" w:cs="Arial" w:eastAsia="Arial" w:hAnsi="Arial"/>
          <w:b/>
          <w:bCs/>
          <w:sz w:val="32"/>
          <w:szCs w:val="32"/>
        </w:rPr>
        <w:t xml:space="preserve">7. VENDOR QUALIFICATIONS</w:t>
      </w:r>
    </w:p>
    <w:p>
      <w:pPr>
        <w:pStyle w:val="Heading2"/>
        <w:spacing w:before="300" w:after="150"/>
      </w:pPr>
      <w:r>
        <w:rPr>
          <w:rFonts w:ascii="Arial" w:cs="Arial" w:eastAsia="Arial" w:hAnsi="Arial"/>
          <w:b/>
          <w:bCs/>
          <w:sz w:val="28"/>
          <w:szCs w:val="28"/>
        </w:rPr>
        <w:t xml:space="preserve">7.1 Mandatory Requirements</w:t>
      </w:r>
    </w:p>
    <w:p>
      <w:pPr>
        <w:spacing w:after="120"/>
        <w:jc w:val="both"/>
      </w:pPr>
      <w:r>
        <w:rPr>
          <w:rFonts w:ascii="Arial" w:cs="Arial" w:eastAsia="Arial" w:hAnsi="Arial"/>
          <w:sz w:val="22"/>
          <w:szCs w:val="22"/>
        </w:rPr>
        <w:t xml:space="preserve">Vendors must meet ALL of the following mandatory requirements to be considered:</w:t>
      </w:r>
    </w:p>
    <w:p>
      <w:pPr>
        <w:pStyle w:val="ListParagraph"/>
        <w:numPr>
          <w:ilvl w:val="0"/>
          <w:numId w:val="3"/>
        </w:numPr>
        <w:spacing w:after="80"/>
      </w:pPr>
      <w:r>
        <w:rPr>
          <w:rFonts w:ascii="Arial" w:cs="Arial" w:eastAsia="Arial" w:hAnsi="Arial"/>
          <w:sz w:val="22"/>
          <w:szCs w:val="22"/>
        </w:rPr>
        <w:t xml:space="preserve">Minimum 5 years of experience in developing banking/financial software solutions</w:t>
      </w:r>
    </w:p>
    <w:p>
      <w:pPr>
        <w:pStyle w:val="ListParagraph"/>
        <w:numPr>
          <w:ilvl w:val="0"/>
          <w:numId w:val="3"/>
        </w:numPr>
        <w:spacing w:after="80"/>
      </w:pPr>
      <w:r>
        <w:rPr>
          <w:rFonts w:ascii="Arial" w:cs="Arial" w:eastAsia="Arial" w:hAnsi="Arial"/>
          <w:sz w:val="22"/>
          <w:szCs w:val="22"/>
        </w:rPr>
        <w:t xml:space="preserve">At least 3 successful LMS/loan origination implementations in banks with 100+ branches</w:t>
      </w:r>
    </w:p>
    <w:p>
      <w:pPr>
        <w:pStyle w:val="ListParagraph"/>
        <w:numPr>
          <w:ilvl w:val="0"/>
          <w:numId w:val="3"/>
        </w:numPr>
        <w:spacing w:after="80"/>
      </w:pPr>
      <w:r>
        <w:rPr>
          <w:rFonts w:ascii="Arial" w:cs="Arial" w:eastAsia="Arial" w:hAnsi="Arial"/>
          <w:sz w:val="22"/>
          <w:szCs w:val="22"/>
        </w:rPr>
        <w:t xml:space="preserve">Experience with South Asian banking regulations (Bangladesh, India, Pakistan, or Sri Lanka preferred)</w:t>
      </w:r>
    </w:p>
    <w:p>
      <w:pPr>
        <w:pStyle w:val="ListParagraph"/>
        <w:numPr>
          <w:ilvl w:val="0"/>
          <w:numId w:val="3"/>
        </w:numPr>
        <w:spacing w:after="80"/>
      </w:pPr>
      <w:r>
        <w:rPr>
          <w:rFonts w:ascii="Arial" w:cs="Arial" w:eastAsia="Arial" w:hAnsi="Arial"/>
          <w:sz w:val="22"/>
          <w:szCs w:val="22"/>
        </w:rPr>
        <w:t xml:space="preserve">ISO 27001 certification for information security management</w:t>
      </w:r>
    </w:p>
    <w:p>
      <w:pPr>
        <w:pStyle w:val="ListParagraph"/>
        <w:numPr>
          <w:ilvl w:val="0"/>
          <w:numId w:val="3"/>
        </w:numPr>
        <w:spacing w:after="80"/>
      </w:pPr>
      <w:r>
        <w:rPr>
          <w:rFonts w:ascii="Arial" w:cs="Arial" w:eastAsia="Arial" w:hAnsi="Arial"/>
          <w:sz w:val="22"/>
          <w:szCs w:val="22"/>
        </w:rPr>
        <w:t xml:space="preserve">Minimum annual revenue of BDT 50 crore (or equivalent) for last 3 years</w:t>
      </w:r>
    </w:p>
    <w:p>
      <w:pPr>
        <w:pStyle w:val="ListParagraph"/>
        <w:numPr>
          <w:ilvl w:val="0"/>
          <w:numId w:val="3"/>
        </w:numPr>
        <w:spacing w:after="80"/>
      </w:pPr>
      <w:r>
        <w:rPr>
          <w:rFonts w:ascii="Arial" w:cs="Arial" w:eastAsia="Arial" w:hAnsi="Arial"/>
          <w:sz w:val="22"/>
          <w:szCs w:val="22"/>
        </w:rPr>
        <w:t xml:space="preserve">Registered company with valid trade license in Bangladesh OR partnership with a local entity</w:t>
      </w:r>
    </w:p>
    <w:p>
      <w:pPr>
        <w:pStyle w:val="ListParagraph"/>
        <w:numPr>
          <w:ilvl w:val="0"/>
          <w:numId w:val="3"/>
        </w:numPr>
        <w:spacing w:after="120"/>
      </w:pPr>
      <w:r>
        <w:rPr>
          <w:rFonts w:ascii="Arial" w:cs="Arial" w:eastAsia="Arial" w:hAnsi="Arial"/>
          <w:sz w:val="22"/>
          <w:szCs w:val="22"/>
        </w:rPr>
        <w:t xml:space="preserve">Dedicated support team available during Bangladesh business hours</w:t>
      </w:r>
    </w:p>
    <w:p>
      <w:pPr>
        <w:pStyle w:val="Heading2"/>
        <w:spacing w:before="300" w:after="150"/>
      </w:pPr>
      <w:r>
        <w:rPr>
          <w:rFonts w:ascii="Arial" w:cs="Arial" w:eastAsia="Arial" w:hAnsi="Arial"/>
          <w:b/>
          <w:bCs/>
          <w:sz w:val="28"/>
          <w:szCs w:val="28"/>
        </w:rPr>
        <w:t xml:space="preserve">7.2 Preferred Qualifications</w:t>
      </w:r>
    </w:p>
    <w:p>
      <w:pPr>
        <w:pStyle w:val="ListParagraph"/>
        <w:numPr>
          <w:ilvl w:val="0"/>
          <w:numId w:val="2"/>
        </w:numPr>
        <w:spacing w:after="80"/>
      </w:pPr>
      <w:r>
        <w:rPr>
          <w:rFonts w:ascii="Arial" w:cs="Arial" w:eastAsia="Arial" w:hAnsi="Arial"/>
          <w:sz w:val="22"/>
          <w:szCs w:val="22"/>
        </w:rPr>
        <w:t xml:space="preserve">Prior implementation experience in Bangladesh banking sector</w:t>
      </w:r>
    </w:p>
    <w:p>
      <w:pPr>
        <w:pStyle w:val="ListParagraph"/>
        <w:numPr>
          <w:ilvl w:val="0"/>
          <w:numId w:val="2"/>
        </w:numPr>
        <w:spacing w:after="80"/>
      </w:pPr>
      <w:r>
        <w:rPr>
          <w:rFonts w:ascii="Arial" w:cs="Arial" w:eastAsia="Arial" w:hAnsi="Arial"/>
          <w:sz w:val="22"/>
          <w:szCs w:val="22"/>
        </w:rPr>
        <w:t xml:space="preserve">Experience with Bangladesh Bank CIB integration</w:t>
      </w:r>
    </w:p>
    <w:p>
      <w:pPr>
        <w:pStyle w:val="ListParagraph"/>
        <w:numPr>
          <w:ilvl w:val="0"/>
          <w:numId w:val="2"/>
        </w:numPr>
        <w:spacing w:after="80"/>
      </w:pPr>
      <w:r>
        <w:rPr>
          <w:rFonts w:ascii="Arial" w:cs="Arial" w:eastAsia="Arial" w:hAnsi="Arial"/>
          <w:sz w:val="22"/>
          <w:szCs w:val="22"/>
        </w:rPr>
        <w:t xml:space="preserve">Islamic banking module experience</w:t>
      </w:r>
    </w:p>
    <w:p>
      <w:pPr>
        <w:pStyle w:val="ListParagraph"/>
        <w:numPr>
          <w:ilvl w:val="0"/>
          <w:numId w:val="2"/>
        </w:numPr>
        <w:spacing w:after="80"/>
      </w:pPr>
      <w:r>
        <w:rPr>
          <w:rFonts w:ascii="Arial" w:cs="Arial" w:eastAsia="Arial" w:hAnsi="Arial"/>
          <w:sz w:val="22"/>
          <w:szCs w:val="22"/>
        </w:rPr>
        <w:t xml:space="preserve">CMMI Level 3 or above certification</w:t>
      </w:r>
    </w:p>
    <w:p>
      <w:pPr>
        <w:pStyle w:val="ListParagraph"/>
        <w:numPr>
          <w:ilvl w:val="0"/>
          <w:numId w:val="2"/>
        </w:numPr>
        <w:spacing w:after="120"/>
      </w:pPr>
      <w:r>
        <w:rPr>
          <w:rFonts w:ascii="Arial" w:cs="Arial" w:eastAsia="Arial" w:hAnsi="Arial"/>
          <w:sz w:val="22"/>
          <w:szCs w:val="22"/>
        </w:rPr>
        <w:t xml:space="preserve">Local development/support center in Dhaka</w:t>
      </w:r>
    </w:p>
    <w:p>
      <w:pPr>
        <w:pStyle w:val="Heading2"/>
        <w:spacing w:before="300" w:after="150"/>
      </w:pPr>
      <w:r>
        <w:rPr>
          <w:rFonts w:ascii="Arial" w:cs="Arial" w:eastAsia="Arial" w:hAnsi="Arial"/>
          <w:b/>
          <w:bCs/>
          <w:sz w:val="28"/>
          <w:szCs w:val="28"/>
        </w:rPr>
        <w:t xml:space="preserve">7.3 Team Requirements</w:t>
      </w:r>
    </w:p>
    <w:p>
      <w:pPr>
        <w:spacing w:after="120"/>
        <w:jc w:val="both"/>
      </w:pPr>
      <w:r>
        <w:rPr>
          <w:rFonts w:ascii="Arial" w:cs="Arial" w:eastAsia="Arial" w:hAnsi="Arial"/>
          <w:sz w:val="22"/>
          <w:szCs w:val="22"/>
        </w:rPr>
        <w:t xml:space="preserve">The vendor must provide a dedicated project team including: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8"/>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Experience</w:t>
            </w:r>
          </w:p>
        </w:tc>
        <w:tc>
          <w:tcPr>
            <w:tcW w:type="dxa" w:w="3744"/>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Manager</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years, PMP certified</w:t>
            </w:r>
          </w:p>
        </w:tc>
        <w:tc>
          <w:tcPr>
            <w:tcW w:type="dxa" w:w="3744"/>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delivery, stakeholder management</w:t>
            </w:r>
          </w:p>
        </w:tc>
      </w:tr>
      <w:tr>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Solution Architect</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years in banking IT</w:t>
            </w:r>
          </w:p>
        </w:tc>
        <w:tc>
          <w:tcPr>
            <w:tcW w:type="dxa" w:w="3744"/>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design, integration architecture</w:t>
            </w:r>
          </w:p>
        </w:tc>
      </w:tr>
      <w:tr>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Analyst</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 in lending domain</w:t>
            </w:r>
          </w:p>
        </w:tc>
        <w:tc>
          <w:tcPr>
            <w:tcW w:type="dxa" w:w="3744"/>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 gap analysis, documentation</w:t>
            </w:r>
          </w:p>
        </w:tc>
      </w:tr>
      <w:tr>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Lead</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years in development</w:t>
            </w:r>
          </w:p>
        </w:tc>
        <w:tc>
          <w:tcPr>
            <w:tcW w:type="dxa" w:w="3744"/>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quality, technical decisions</w:t>
            </w:r>
          </w:p>
        </w:tc>
      </w:tr>
      <w:tr>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Lead</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 in testing</w:t>
            </w:r>
          </w:p>
        </w:tc>
        <w:tc>
          <w:tcPr>
            <w:tcW w:type="dxa" w:w="3744"/>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strategy, quality assurance</w:t>
            </w:r>
          </w:p>
        </w:tc>
      </w:tr>
    </w:tbl>
    <w:p>
      <w:r>
        <w:br w:type="page"/>
      </w:r>
    </w:p>
    <w:p>
      <w:pPr>
        <w:pStyle w:val="Heading1"/>
        <w:spacing w:before="400" w:after="200"/>
      </w:pPr>
      <w:r>
        <w:rPr>
          <w:rFonts w:ascii="Arial" w:cs="Arial" w:eastAsia="Arial" w:hAnsi="Arial"/>
          <w:b/>
          <w:bCs/>
          <w:sz w:val="32"/>
          <w:szCs w:val="32"/>
        </w:rPr>
        <w:t xml:space="preserve">8. EVALUATION CRITERIA</w:t>
      </w:r>
    </w:p>
    <w:p>
      <w:pPr>
        <w:pStyle w:val="Heading2"/>
        <w:spacing w:before="300" w:after="150"/>
      </w:pPr>
      <w:r>
        <w:rPr>
          <w:rFonts w:ascii="Arial" w:cs="Arial" w:eastAsia="Arial" w:hAnsi="Arial"/>
          <w:b/>
          <w:bCs/>
          <w:sz w:val="28"/>
          <w:szCs w:val="28"/>
        </w:rPr>
        <w:t xml:space="preserve">8.1 Technical Evaluation (70%)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Weightage</w:t>
            </w:r>
          </w:p>
        </w:tc>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Score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 Requirements Coverage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Architecture and Scalability</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Compliance Capabilities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Capabilities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Features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Experience and Interface Design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Demonstration Score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TECHNICAL SCORE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w:t>
            </w:r>
          </w:p>
        </w:tc>
      </w:tr>
    </w:tbl>
    <w:p>
      <w:pPr>
        <w:spacing w:after="200"/>
      </w:pPr>
    </w:p>
    <w:p>
      <w:pPr>
        <w:pStyle w:val="Heading2"/>
        <w:spacing w:before="300" w:after="150"/>
      </w:pPr>
      <w:r>
        <w:rPr>
          <w:rFonts w:ascii="Arial" w:cs="Arial" w:eastAsia="Arial" w:hAnsi="Arial"/>
          <w:b/>
          <w:bCs/>
          <w:sz w:val="28"/>
          <w:szCs w:val="28"/>
        </w:rPr>
        <w:t xml:space="preserve">8.2 Commercial Evaluation (30%)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Weightage</w:t>
            </w:r>
          </w:p>
        </w:tc>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Score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Cost of Ownership (5 years)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 Timeline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Terms and Flexibility</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Warranty and Support Terms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COMMERCIAL SCORE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bl>
    <w:p>
      <w:pPr>
        <w:spacing w:after="200"/>
      </w:pPr>
    </w:p>
    <w:p>
      <w:pPr>
        <w:spacing w:after="120"/>
        <w:jc w:val="both"/>
      </w:pPr>
      <w:r>
        <w:rPr>
          <w:rFonts w:ascii="Arial" w:cs="Arial" w:eastAsia="Arial" w:hAnsi="Arial"/>
          <w:sz w:val="22"/>
          <w:szCs w:val="22"/>
        </w:rPr>
        <w:t xml:space="preserve">Minimum qualifying score: 60% in Technical Evaluation to proceed to Commercial Evaluation.</w:t>
      </w:r>
    </w:p>
    <w:p>
      <w:r>
        <w:br w:type="page"/>
      </w:r>
    </w:p>
    <w:p>
      <w:pPr>
        <w:pStyle w:val="Heading1"/>
        <w:spacing w:before="400" w:after="200"/>
      </w:pPr>
      <w:r>
        <w:rPr>
          <w:rFonts w:ascii="Arial" w:cs="Arial" w:eastAsia="Arial" w:hAnsi="Arial"/>
          <w:b/>
          <w:bCs/>
          <w:sz w:val="32"/>
          <w:szCs w:val="32"/>
        </w:rPr>
        <w:t xml:space="preserve">9. GLOBAL LMS BENCHMARK ANALYSIS</w:t>
      </w:r>
    </w:p>
    <w:p>
      <w:pPr>
        <w:spacing w:after="120"/>
        <w:jc w:val="both"/>
      </w:pPr>
      <w:r>
        <w:rPr>
          <w:rFonts w:ascii="Arial" w:cs="Arial" w:eastAsia="Arial" w:hAnsi="Arial"/>
          <w:sz w:val="22"/>
          <w:szCs w:val="22"/>
        </w:rPr>
        <w:t xml:space="preserve">Based on extensive market research, the following are the top global LMS solutions that serve as benchmarks for this RFP:</w:t>
      </w:r>
    </w:p>
    <w:p>
      <w:pPr>
        <w:pStyle w:val="Heading2"/>
        <w:spacing w:before="300" w:after="150"/>
      </w:pPr>
      <w:r>
        <w:rPr>
          <w:rFonts w:ascii="Arial" w:cs="Arial" w:eastAsia="Arial" w:hAnsi="Arial"/>
          <w:b/>
          <w:bCs/>
          <w:sz w:val="28"/>
          <w:szCs w:val="28"/>
        </w:rPr>
        <w:t xml:space="preserve">9.1 Top 5 Global LMS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c>
          <w:tcPr>
            <w:tcW w:type="dxa" w:w="1872"/>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808"/>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c>
          <w:tcPr>
            <w:tcW w:type="dxa" w:w="2808"/>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Notable Clients</w:t>
            </w:r>
          </w:p>
        </w:tc>
        <w:tc>
          <w:tcPr>
            <w:tcW w:type="dxa" w:w="1872"/>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Region Focus</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Finastra Fusion Loan IQ</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 global syndicated loan market share, enterprise-grade, Basel III compliant</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50 global banks, major investment banks</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Temenos LMS</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Cloud-native, AI-powered decisioning, Shariah-compliant modules</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950+ banks globally, Islamic banks</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MEA</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TCS BaNCS Lending</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lending automation, strong Asian market presence</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Asian banks, UAE banks</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Asia, MEA</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Infosys Finacle Lending</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billion end users, comprehensive digital lending, API-first</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countries, Indian banks</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Asia, Africa</w:t>
            </w:r>
          </w:p>
        </w:tc>
      </w:tr>
      <w:tr>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Nucleus FinnOne Neo</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FI clients in 50 countries, retail and corporate lending</w:t>
            </w:r>
          </w:p>
        </w:tc>
        <w:tc>
          <w:tcPr>
            <w:tcW w:type="dxa" w:w="28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South Asian banks, NBFCs</w:t>
            </w:r>
          </w:p>
        </w:tc>
        <w:tc>
          <w:tcPr>
            <w:tcW w:type="dxa" w:w="187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South Asia</w:t>
            </w:r>
          </w:p>
        </w:tc>
      </w:tr>
    </w:tbl>
    <w:p>
      <w:pPr>
        <w:spacing w:after="200"/>
      </w:pPr>
    </w:p>
    <w:p>
      <w:pPr>
        <w:pStyle w:val="Heading2"/>
        <w:spacing w:before="300" w:after="150"/>
      </w:pPr>
      <w:r>
        <w:rPr>
          <w:rFonts w:ascii="Arial" w:cs="Arial" w:eastAsia="Arial" w:hAnsi="Arial"/>
          <w:b/>
          <w:bCs/>
          <w:sz w:val="28"/>
          <w:szCs w:val="28"/>
        </w:rPr>
        <w:t xml:space="preserve">9.2 Key Features from Global Leaders</w:t>
      </w:r>
    </w:p>
    <w:p>
      <w:pPr>
        <w:spacing w:after="120"/>
        <w:jc w:val="both"/>
      </w:pPr>
      <w:r>
        <w:rPr>
          <w:rFonts w:ascii="Arial" w:cs="Arial" w:eastAsia="Arial" w:hAnsi="Arial"/>
          <w:sz w:val="22"/>
          <w:szCs w:val="22"/>
        </w:rPr>
        <w:t xml:space="preserve">Proposals should demonstrate capabilities comparable to these global best practices:</w:t>
      </w:r>
    </w:p>
    <w:p>
      <w:pPr>
        <w:pStyle w:val="ListParagraph"/>
        <w:numPr>
          <w:ilvl w:val="0"/>
          <w:numId w:val="2"/>
        </w:numPr>
        <w:spacing w:after="80"/>
      </w:pPr>
      <w:r>
        <w:rPr>
          <w:rFonts w:ascii="Arial" w:cs="Arial" w:eastAsia="Arial" w:hAnsi="Arial"/>
          <w:sz w:val="22"/>
          <w:szCs w:val="22"/>
        </w:rPr>
        <w:t xml:space="preserve">AI/ML-powered credit decisioning with explainable outcomes</w:t>
      </w:r>
    </w:p>
    <w:p>
      <w:pPr>
        <w:pStyle w:val="ListParagraph"/>
        <w:numPr>
          <w:ilvl w:val="0"/>
          <w:numId w:val="2"/>
        </w:numPr>
        <w:spacing w:after="80"/>
      </w:pPr>
      <w:r>
        <w:rPr>
          <w:rFonts w:ascii="Arial" w:cs="Arial" w:eastAsia="Arial" w:hAnsi="Arial"/>
          <w:sz w:val="22"/>
          <w:szCs w:val="22"/>
        </w:rPr>
        <w:t xml:space="preserve">Real-time, event-driven loan processing architecture</w:t>
      </w:r>
    </w:p>
    <w:p>
      <w:pPr>
        <w:pStyle w:val="ListParagraph"/>
        <w:numPr>
          <w:ilvl w:val="0"/>
          <w:numId w:val="2"/>
        </w:numPr>
        <w:spacing w:after="80"/>
      </w:pPr>
      <w:r>
        <w:rPr>
          <w:rFonts w:ascii="Arial" w:cs="Arial" w:eastAsia="Arial" w:hAnsi="Arial"/>
          <w:sz w:val="22"/>
          <w:szCs w:val="22"/>
        </w:rPr>
        <w:t xml:space="preserve">Cloud-native deployment with multi-tenant capabilities</w:t>
      </w:r>
    </w:p>
    <w:p>
      <w:pPr>
        <w:pStyle w:val="ListParagraph"/>
        <w:numPr>
          <w:ilvl w:val="0"/>
          <w:numId w:val="2"/>
        </w:numPr>
        <w:spacing w:after="80"/>
      </w:pPr>
      <w:r>
        <w:rPr>
          <w:rFonts w:ascii="Arial" w:cs="Arial" w:eastAsia="Arial" w:hAnsi="Arial"/>
          <w:sz w:val="22"/>
          <w:szCs w:val="22"/>
        </w:rPr>
        <w:t xml:space="preserve">Open API ecosystem for fintech partnerships</w:t>
      </w:r>
    </w:p>
    <w:p>
      <w:pPr>
        <w:pStyle w:val="ListParagraph"/>
        <w:numPr>
          <w:ilvl w:val="0"/>
          <w:numId w:val="2"/>
        </w:numPr>
        <w:spacing w:after="80"/>
      </w:pPr>
      <w:r>
        <w:rPr>
          <w:rFonts w:ascii="Arial" w:cs="Arial" w:eastAsia="Arial" w:hAnsi="Arial"/>
          <w:sz w:val="22"/>
          <w:szCs w:val="22"/>
        </w:rPr>
        <w:t xml:space="preserve">Omnichannel customer experience (branch, mobile, web, agent)</w:t>
      </w:r>
    </w:p>
    <w:p>
      <w:pPr>
        <w:pStyle w:val="ListParagraph"/>
        <w:numPr>
          <w:ilvl w:val="0"/>
          <w:numId w:val="2"/>
        </w:numPr>
        <w:spacing w:after="80"/>
      </w:pPr>
      <w:r>
        <w:rPr>
          <w:rFonts w:ascii="Arial" w:cs="Arial" w:eastAsia="Arial" w:hAnsi="Arial"/>
          <w:sz w:val="22"/>
          <w:szCs w:val="22"/>
        </w:rPr>
        <w:t xml:space="preserve">IFRS-9 compliant provisioning engine</w:t>
      </w:r>
    </w:p>
    <w:p>
      <w:pPr>
        <w:pStyle w:val="ListParagraph"/>
        <w:numPr>
          <w:ilvl w:val="0"/>
          <w:numId w:val="2"/>
        </w:numPr>
        <w:spacing w:after="120"/>
      </w:pPr>
      <w:r>
        <w:rPr>
          <w:rFonts w:ascii="Arial" w:cs="Arial" w:eastAsia="Arial" w:hAnsi="Arial"/>
          <w:sz w:val="22"/>
          <w:szCs w:val="22"/>
        </w:rPr>
        <w:t xml:space="preserve">Advanced analytics dashboard with predictive insights</w:t>
      </w:r>
    </w:p>
    <w:p>
      <w:r>
        <w:br w:type="page"/>
      </w:r>
    </w:p>
    <w:p>
      <w:pPr>
        <w:pStyle w:val="Heading1"/>
        <w:spacing w:before="400" w:after="200"/>
      </w:pPr>
      <w:r>
        <w:rPr>
          <w:rFonts w:ascii="Arial" w:cs="Arial" w:eastAsia="Arial" w:hAnsi="Arial"/>
          <w:b/>
          <w:bCs/>
          <w:sz w:val="32"/>
          <w:szCs w:val="32"/>
        </w:rPr>
        <w:t xml:space="preserve">10. SUBMISSION REQUIREMENTS</w:t>
      </w:r>
    </w:p>
    <w:p>
      <w:pPr>
        <w:pStyle w:val="Heading2"/>
        <w:spacing w:before="300" w:after="150"/>
      </w:pPr>
      <w:r>
        <w:rPr>
          <w:rFonts w:ascii="Arial" w:cs="Arial" w:eastAsia="Arial" w:hAnsi="Arial"/>
          <w:b/>
          <w:bCs/>
          <w:sz w:val="28"/>
          <w:szCs w:val="28"/>
        </w:rPr>
        <w:t xml:space="preserve">10.1 Proposal Structure</w:t>
      </w:r>
    </w:p>
    <w:p>
      <w:pPr>
        <w:spacing w:after="120"/>
        <w:jc w:val="both"/>
      </w:pPr>
      <w:r>
        <w:rPr>
          <w:rFonts w:ascii="Arial" w:cs="Arial" w:eastAsia="Arial" w:hAnsi="Arial"/>
          <w:sz w:val="22"/>
          <w:szCs w:val="22"/>
        </w:rPr>
        <w:t xml:space="preserve">Proposals must be submitted in the following format:</w:t>
      </w:r>
    </w:p>
    <w:p>
      <w:pPr>
        <w:pStyle w:val="Heading3"/>
        <w:spacing w:before="200" w:after="100"/>
      </w:pPr>
      <w:r>
        <w:rPr>
          <w:rFonts w:ascii="Arial" w:cs="Arial" w:eastAsia="Arial" w:hAnsi="Arial"/>
          <w:b/>
          <w:bCs/>
          <w:sz w:val="24"/>
          <w:szCs w:val="24"/>
        </w:rPr>
        <w:t xml:space="preserve">Volume 1: Technical Proposal</w:t>
      </w:r>
    </w:p>
    <w:p>
      <w:pPr>
        <w:pStyle w:val="ListParagraph"/>
        <w:numPr>
          <w:ilvl w:val="0"/>
          <w:numId w:val="4"/>
        </w:numPr>
        <w:spacing w:after="80"/>
      </w:pPr>
      <w:r>
        <w:rPr>
          <w:rFonts w:ascii="Arial" w:cs="Arial" w:eastAsia="Arial" w:hAnsi="Arial"/>
          <w:sz w:val="22"/>
          <w:szCs w:val="22"/>
        </w:rPr>
        <w:t xml:space="preserve">Executive Summary (max 5 pages)</w:t>
      </w:r>
    </w:p>
    <w:p>
      <w:pPr>
        <w:pStyle w:val="ListParagraph"/>
        <w:numPr>
          <w:ilvl w:val="0"/>
          <w:numId w:val="4"/>
        </w:numPr>
        <w:spacing w:after="80"/>
      </w:pPr>
      <w:r>
        <w:rPr>
          <w:rFonts w:ascii="Arial" w:cs="Arial" w:eastAsia="Arial" w:hAnsi="Arial"/>
          <w:sz w:val="22"/>
          <w:szCs w:val="22"/>
        </w:rPr>
        <w:t xml:space="preserve">Company Profile and Qualifications</w:t>
      </w:r>
    </w:p>
    <w:p>
      <w:pPr>
        <w:pStyle w:val="ListParagraph"/>
        <w:numPr>
          <w:ilvl w:val="0"/>
          <w:numId w:val="4"/>
        </w:numPr>
        <w:spacing w:after="80"/>
      </w:pPr>
      <w:r>
        <w:rPr>
          <w:rFonts w:ascii="Arial" w:cs="Arial" w:eastAsia="Arial" w:hAnsi="Arial"/>
          <w:sz w:val="22"/>
          <w:szCs w:val="22"/>
        </w:rPr>
        <w:t xml:space="preserve">Solution Overview and Architecture</w:t>
      </w:r>
    </w:p>
    <w:p>
      <w:pPr>
        <w:pStyle w:val="ListParagraph"/>
        <w:numPr>
          <w:ilvl w:val="0"/>
          <w:numId w:val="4"/>
        </w:numPr>
        <w:spacing w:after="80"/>
      </w:pPr>
      <w:r>
        <w:rPr>
          <w:rFonts w:ascii="Arial" w:cs="Arial" w:eastAsia="Arial" w:hAnsi="Arial"/>
          <w:sz w:val="22"/>
          <w:szCs w:val="22"/>
        </w:rPr>
        <w:t xml:space="preserve">Functional Requirements Response Matrix</w:t>
      </w:r>
    </w:p>
    <w:p>
      <w:pPr>
        <w:pStyle w:val="ListParagraph"/>
        <w:numPr>
          <w:ilvl w:val="0"/>
          <w:numId w:val="4"/>
        </w:numPr>
        <w:spacing w:after="80"/>
      </w:pPr>
      <w:r>
        <w:rPr>
          <w:rFonts w:ascii="Arial" w:cs="Arial" w:eastAsia="Arial" w:hAnsi="Arial"/>
          <w:sz w:val="22"/>
          <w:szCs w:val="22"/>
        </w:rPr>
        <w:t xml:space="preserve">Technical Requirements Response</w:t>
      </w:r>
    </w:p>
    <w:p>
      <w:pPr>
        <w:pStyle w:val="ListParagraph"/>
        <w:numPr>
          <w:ilvl w:val="0"/>
          <w:numId w:val="4"/>
        </w:numPr>
        <w:spacing w:after="80"/>
      </w:pPr>
      <w:r>
        <w:rPr>
          <w:rFonts w:ascii="Arial" w:cs="Arial" w:eastAsia="Arial" w:hAnsi="Arial"/>
          <w:sz w:val="22"/>
          <w:szCs w:val="22"/>
        </w:rPr>
        <w:t xml:space="preserve">Regulatory Compliance Approach</w:t>
      </w:r>
    </w:p>
    <w:p>
      <w:pPr>
        <w:pStyle w:val="ListParagraph"/>
        <w:numPr>
          <w:ilvl w:val="0"/>
          <w:numId w:val="4"/>
        </w:numPr>
        <w:spacing w:after="80"/>
      </w:pPr>
      <w:r>
        <w:rPr>
          <w:rFonts w:ascii="Arial" w:cs="Arial" w:eastAsia="Arial" w:hAnsi="Arial"/>
          <w:sz w:val="22"/>
          <w:szCs w:val="22"/>
        </w:rPr>
        <w:t xml:space="preserve">Implementation Methodology and Timeline</w:t>
      </w:r>
    </w:p>
    <w:p>
      <w:pPr>
        <w:pStyle w:val="ListParagraph"/>
        <w:numPr>
          <w:ilvl w:val="0"/>
          <w:numId w:val="4"/>
        </w:numPr>
        <w:spacing w:after="80"/>
      </w:pPr>
      <w:r>
        <w:rPr>
          <w:rFonts w:ascii="Arial" w:cs="Arial" w:eastAsia="Arial" w:hAnsi="Arial"/>
          <w:sz w:val="22"/>
          <w:szCs w:val="22"/>
        </w:rPr>
        <w:t xml:space="preserve">Project Team CVs</w:t>
      </w:r>
    </w:p>
    <w:p>
      <w:pPr>
        <w:pStyle w:val="ListParagraph"/>
        <w:numPr>
          <w:ilvl w:val="0"/>
          <w:numId w:val="4"/>
        </w:numPr>
        <w:spacing w:after="120"/>
      </w:pPr>
      <w:r>
        <w:rPr>
          <w:rFonts w:ascii="Arial" w:cs="Arial" w:eastAsia="Arial" w:hAnsi="Arial"/>
          <w:sz w:val="22"/>
          <w:szCs w:val="22"/>
        </w:rPr>
        <w:t xml:space="preserve">Case Studies and References</w:t>
      </w:r>
    </w:p>
    <w:p>
      <w:pPr>
        <w:pStyle w:val="Heading3"/>
        <w:spacing w:before="200" w:after="100"/>
      </w:pPr>
      <w:r>
        <w:rPr>
          <w:rFonts w:ascii="Arial" w:cs="Arial" w:eastAsia="Arial" w:hAnsi="Arial"/>
          <w:b/>
          <w:bCs/>
          <w:sz w:val="24"/>
          <w:szCs w:val="24"/>
        </w:rPr>
        <w:t xml:space="preserve">Volume 2: Commercial Proposal</w:t>
      </w:r>
    </w:p>
    <w:p>
      <w:pPr>
        <w:pStyle w:val="ListParagraph"/>
        <w:numPr>
          <w:ilvl w:val="0"/>
          <w:numId w:val="4"/>
        </w:numPr>
        <w:spacing w:after="80"/>
      </w:pPr>
      <w:r>
        <w:rPr>
          <w:rFonts w:ascii="Arial" w:cs="Arial" w:eastAsia="Arial" w:hAnsi="Arial"/>
          <w:sz w:val="22"/>
          <w:szCs w:val="22"/>
        </w:rPr>
        <w:t xml:space="preserve">Pricing Summary</w:t>
      </w:r>
    </w:p>
    <w:p>
      <w:pPr>
        <w:pStyle w:val="ListParagraph"/>
        <w:numPr>
          <w:ilvl w:val="0"/>
          <w:numId w:val="4"/>
        </w:numPr>
        <w:spacing w:after="80"/>
      </w:pPr>
      <w:r>
        <w:rPr>
          <w:rFonts w:ascii="Arial" w:cs="Arial" w:eastAsia="Arial" w:hAnsi="Arial"/>
          <w:sz w:val="22"/>
          <w:szCs w:val="22"/>
        </w:rPr>
        <w:t xml:space="preserve">Detailed Cost Breakdown (license, implementation, customization, support)</w:t>
      </w:r>
    </w:p>
    <w:p>
      <w:pPr>
        <w:pStyle w:val="ListParagraph"/>
        <w:numPr>
          <w:ilvl w:val="0"/>
          <w:numId w:val="4"/>
        </w:numPr>
        <w:spacing w:after="80"/>
      </w:pPr>
      <w:r>
        <w:rPr>
          <w:rFonts w:ascii="Arial" w:cs="Arial" w:eastAsia="Arial" w:hAnsi="Arial"/>
          <w:sz w:val="22"/>
          <w:szCs w:val="22"/>
        </w:rPr>
        <w:t xml:space="preserve">Payment Schedule</w:t>
      </w:r>
    </w:p>
    <w:p>
      <w:pPr>
        <w:pStyle w:val="ListParagraph"/>
        <w:numPr>
          <w:ilvl w:val="0"/>
          <w:numId w:val="4"/>
        </w:numPr>
        <w:spacing w:after="80"/>
      </w:pPr>
      <w:r>
        <w:rPr>
          <w:rFonts w:ascii="Arial" w:cs="Arial" w:eastAsia="Arial" w:hAnsi="Arial"/>
          <w:sz w:val="22"/>
          <w:szCs w:val="22"/>
        </w:rPr>
        <w:t xml:space="preserve">5-Year Total Cost of Ownership</w:t>
      </w:r>
    </w:p>
    <w:p>
      <w:pPr>
        <w:pStyle w:val="ListParagraph"/>
        <w:numPr>
          <w:ilvl w:val="0"/>
          <w:numId w:val="4"/>
        </w:numPr>
        <w:spacing w:after="120"/>
      </w:pPr>
      <w:r>
        <w:rPr>
          <w:rFonts w:ascii="Arial" w:cs="Arial" w:eastAsia="Arial" w:hAnsi="Arial"/>
          <w:sz w:val="22"/>
          <w:szCs w:val="22"/>
        </w:rPr>
        <w:t xml:space="preserve">Warranty and Support Terms</w:t>
      </w:r>
    </w:p>
    <w:p>
      <w:pPr>
        <w:pStyle w:val="Heading2"/>
        <w:spacing w:before="300" w:after="150"/>
      </w:pPr>
      <w:r>
        <w:rPr>
          <w:rFonts w:ascii="Arial" w:cs="Arial" w:eastAsia="Arial" w:hAnsi="Arial"/>
          <w:b/>
          <w:bCs/>
          <w:sz w:val="28"/>
          <w:szCs w:val="28"/>
        </w:rPr>
        <w:t xml:space="preserve">10.2 Key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RFP Issue Date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27,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Pre-Bid Conference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10,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Date for Queries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17,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to Queries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24,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Proposal Submission Deadline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17, 2026 (5:00 PM BST)</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Evaluation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18 - April 7,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 Presentations/Demos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8 - 15,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Evaluation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16 - 22,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Selection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30, 2026</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Award</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15, 2026</w:t>
            </w:r>
          </w:p>
        </w:tc>
      </w:tr>
    </w:tbl>
    <w:p>
      <w:r>
        <w:br w:type="page"/>
      </w:r>
    </w:p>
    <w:p>
      <w:pPr>
        <w:pStyle w:val="Heading1"/>
        <w:spacing w:before="400" w:after="200"/>
      </w:pPr>
      <w:r>
        <w:rPr>
          <w:rFonts w:ascii="Arial" w:cs="Arial" w:eastAsia="Arial" w:hAnsi="Arial"/>
          <w:b/>
          <w:bCs/>
          <w:sz w:val="32"/>
          <w:szCs w:val="32"/>
        </w:rPr>
        <w:t xml:space="preserve">11. ANNEXURES</w:t>
      </w:r>
    </w:p>
    <w:p>
      <w:pPr>
        <w:pStyle w:val="Heading2"/>
        <w:spacing w:before="300" w:after="150"/>
      </w:pPr>
      <w:r>
        <w:rPr>
          <w:rFonts w:ascii="Arial" w:cs="Arial" w:eastAsia="Arial" w:hAnsi="Arial"/>
          <w:b/>
          <w:bCs/>
          <w:sz w:val="28"/>
          <w:szCs w:val="28"/>
        </w:rPr>
        <w:t xml:space="preserve">Annexure A: Functional Requirements Matrix Template</w:t>
      </w:r>
    </w:p>
    <w:p>
      <w:pPr>
        <w:spacing w:after="120"/>
        <w:jc w:val="both"/>
      </w:pPr>
      <w:r>
        <w:rPr>
          <w:rFonts w:ascii="Arial" w:cs="Arial" w:eastAsia="Arial" w:hAnsi="Arial"/>
          <w:sz w:val="22"/>
          <w:szCs w:val="22"/>
        </w:rPr>
        <w:t xml:space="preserve">Vendors must complete the functional requirements matrix indicating compliance status (Fully Compliant, Partially Compliant with customization, Not Compliant) for each requirement listed in Section 4.</w:t>
      </w:r>
    </w:p>
    <w:p>
      <w:pPr>
        <w:pStyle w:val="Heading2"/>
        <w:spacing w:before="300" w:after="150"/>
      </w:pPr>
      <w:r>
        <w:rPr>
          <w:rFonts w:ascii="Arial" w:cs="Arial" w:eastAsia="Arial" w:hAnsi="Arial"/>
          <w:b/>
          <w:bCs/>
          <w:sz w:val="28"/>
          <w:szCs w:val="28"/>
        </w:rPr>
        <w:t xml:space="preserve">Annexure B: Technical Questionnaire</w:t>
      </w:r>
    </w:p>
    <w:p>
      <w:pPr>
        <w:spacing w:after="120"/>
        <w:jc w:val="both"/>
      </w:pPr>
      <w:r>
        <w:rPr>
          <w:rFonts w:ascii="Arial" w:cs="Arial" w:eastAsia="Arial" w:hAnsi="Arial"/>
          <w:sz w:val="22"/>
          <w:szCs w:val="22"/>
        </w:rPr>
        <w:t xml:space="preserve">Detailed questionnaire covering architecture, scalability, security, and integration capabilities.</w:t>
      </w:r>
    </w:p>
    <w:p>
      <w:pPr>
        <w:pStyle w:val="Heading2"/>
        <w:spacing w:before="300" w:after="150"/>
      </w:pPr>
      <w:r>
        <w:rPr>
          <w:rFonts w:ascii="Arial" w:cs="Arial" w:eastAsia="Arial" w:hAnsi="Arial"/>
          <w:b/>
          <w:bCs/>
          <w:sz w:val="28"/>
          <w:szCs w:val="28"/>
        </w:rPr>
        <w:t xml:space="preserve">Annexure C: Commercial Proposal Template</w:t>
      </w:r>
    </w:p>
    <w:p>
      <w:pPr>
        <w:spacing w:after="120"/>
        <w:jc w:val="both"/>
      </w:pPr>
      <w:r>
        <w:rPr>
          <w:rFonts w:ascii="Arial" w:cs="Arial" w:eastAsia="Arial" w:hAnsi="Arial"/>
          <w:sz w:val="22"/>
          <w:szCs w:val="22"/>
        </w:rPr>
        <w:t xml:space="preserve">Standard pricing format for consistent evaluation across vendors.</w:t>
      </w:r>
    </w:p>
    <w:p>
      <w:pPr>
        <w:pStyle w:val="Heading2"/>
        <w:spacing w:before="300" w:after="150"/>
      </w:pPr>
      <w:r>
        <w:rPr>
          <w:rFonts w:ascii="Arial" w:cs="Arial" w:eastAsia="Arial" w:hAnsi="Arial"/>
          <w:b/>
          <w:bCs/>
          <w:sz w:val="28"/>
          <w:szCs w:val="28"/>
        </w:rPr>
        <w:t xml:space="preserve">Annexure D: Reference Format</w:t>
      </w:r>
    </w:p>
    <w:p>
      <w:pPr>
        <w:spacing w:after="120"/>
        <w:jc w:val="both"/>
      </w:pPr>
      <w:r>
        <w:rPr>
          <w:rFonts w:ascii="Arial" w:cs="Arial" w:eastAsia="Arial" w:hAnsi="Arial"/>
          <w:sz w:val="22"/>
          <w:szCs w:val="22"/>
        </w:rPr>
        <w:t xml:space="preserve">Template for providing client references with contact details and project scope.</w:t>
      </w:r>
    </w:p>
    <w:p>
      <w:pPr>
        <w:pStyle w:val="Heading2"/>
        <w:spacing w:before="300" w:after="150"/>
      </w:pPr>
      <w:r>
        <w:rPr>
          <w:rFonts w:ascii="Arial" w:cs="Arial" w:eastAsia="Arial" w:hAnsi="Arial"/>
          <w:b/>
          <w:bCs/>
          <w:sz w:val="28"/>
          <w:szCs w:val="28"/>
        </w:rPr>
        <w:t xml:space="preserve">Annexure E: Draft Service Level Agreement (SLA)</w:t>
      </w:r>
    </w:p>
    <w:p>
      <w:pPr>
        <w:spacing w:after="120"/>
        <w:jc w:val="both"/>
      </w:pPr>
      <w:r>
        <w:rPr>
          <w:rFonts w:ascii="Arial" w:cs="Arial" w:eastAsia="Arial" w:hAnsi="Arial"/>
          <w:sz w:val="22"/>
          <w:szCs w:val="22"/>
        </w:rPr>
        <w:t xml:space="preserve">Expected SLA terms for system availability, response times, and support levels.</w:t>
      </w:r>
    </w:p>
    <w:p>
      <w:pPr>
        <w:pStyle w:val="Heading2"/>
        <w:spacing w:before="300" w:after="150"/>
      </w:pPr>
      <w:r>
        <w:rPr>
          <w:rFonts w:ascii="Arial" w:cs="Arial" w:eastAsia="Arial" w:hAnsi="Arial"/>
          <w:b/>
          <w:bCs/>
          <w:sz w:val="28"/>
          <w:szCs w:val="28"/>
        </w:rPr>
        <w:t xml:space="preserve">Annexure F: Bangladesh Bank Regulatory References</w:t>
      </w:r>
    </w:p>
    <w:p>
      <w:pPr>
        <w:pStyle w:val="ListParagraph"/>
        <w:numPr>
          <w:ilvl w:val="0"/>
          <w:numId w:val="2"/>
        </w:numPr>
        <w:spacing w:after="80"/>
      </w:pPr>
      <w:r>
        <w:rPr>
          <w:rFonts w:ascii="Arial" w:cs="Arial" w:eastAsia="Arial" w:hAnsi="Arial"/>
          <w:sz w:val="22"/>
          <w:szCs w:val="22"/>
        </w:rPr>
        <w:t xml:space="preserve">BRPD Circular No. 15/2024 - Loan Classification Guidelines</w:t>
      </w:r>
    </w:p>
    <w:p>
      <w:pPr>
        <w:pStyle w:val="ListParagraph"/>
        <w:numPr>
          <w:ilvl w:val="0"/>
          <w:numId w:val="2"/>
        </w:numPr>
        <w:spacing w:after="80"/>
      </w:pPr>
      <w:r>
        <w:rPr>
          <w:rFonts w:ascii="Arial" w:cs="Arial" w:eastAsia="Arial" w:hAnsi="Arial"/>
          <w:sz w:val="22"/>
          <w:szCs w:val="22"/>
        </w:rPr>
        <w:t xml:space="preserve">BFIU Circular No. 25 - e-KYC Guidelines</w:t>
      </w:r>
    </w:p>
    <w:p>
      <w:pPr>
        <w:pStyle w:val="ListParagraph"/>
        <w:numPr>
          <w:ilvl w:val="0"/>
          <w:numId w:val="2"/>
        </w:numPr>
        <w:spacing w:after="80"/>
      </w:pPr>
      <w:r>
        <w:rPr>
          <w:rFonts w:ascii="Arial" w:cs="Arial" w:eastAsia="Arial" w:hAnsi="Arial"/>
          <w:sz w:val="22"/>
          <w:szCs w:val="22"/>
        </w:rPr>
        <w:t xml:space="preserve">Guidelines on ICT Security Version 4.0, 2023</w:t>
      </w:r>
    </w:p>
    <w:p>
      <w:pPr>
        <w:pStyle w:val="ListParagraph"/>
        <w:numPr>
          <w:ilvl w:val="0"/>
          <w:numId w:val="2"/>
        </w:numPr>
        <w:spacing w:after="80"/>
      </w:pPr>
      <w:r>
        <w:rPr>
          <w:rFonts w:ascii="Arial" w:cs="Arial" w:eastAsia="Arial" w:hAnsi="Arial"/>
          <w:sz w:val="22"/>
          <w:szCs w:val="22"/>
        </w:rPr>
        <w:t xml:space="preserve">Core Banking Solution Features and Controls Version 2.0</w:t>
      </w:r>
    </w:p>
    <w:p>
      <w:pPr>
        <w:pStyle w:val="ListParagraph"/>
        <w:numPr>
          <w:ilvl w:val="0"/>
          <w:numId w:val="2"/>
        </w:numPr>
        <w:spacing w:after="80"/>
      </w:pPr>
      <w:r>
        <w:rPr>
          <w:rFonts w:ascii="Arial" w:cs="Arial" w:eastAsia="Arial" w:hAnsi="Arial"/>
          <w:sz w:val="22"/>
          <w:szCs w:val="22"/>
        </w:rPr>
        <w:t xml:space="preserve">Guidelines to Establish Digital Bank Version 2</w:t>
      </w:r>
    </w:p>
    <w:p>
      <w:pPr>
        <w:pStyle w:val="ListParagraph"/>
        <w:numPr>
          <w:ilvl w:val="0"/>
          <w:numId w:val="2"/>
        </w:numPr>
        <w:spacing w:after="80"/>
      </w:pPr>
      <w:r>
        <w:rPr>
          <w:rFonts w:ascii="Arial" w:cs="Arial" w:eastAsia="Arial" w:hAnsi="Arial"/>
          <w:sz w:val="22"/>
          <w:szCs w:val="22"/>
        </w:rPr>
        <w:t xml:space="preserve">Money Laundering Prevention Act, 2012</w:t>
      </w:r>
    </w:p>
    <w:p>
      <w:pPr>
        <w:pStyle w:val="ListParagraph"/>
        <w:numPr>
          <w:ilvl w:val="0"/>
          <w:numId w:val="2"/>
        </w:numPr>
        <w:spacing w:after="120"/>
      </w:pPr>
      <w:r>
        <w:rPr>
          <w:rFonts w:ascii="Arial" w:cs="Arial" w:eastAsia="Arial" w:hAnsi="Arial"/>
          <w:sz w:val="22"/>
          <w:szCs w:val="22"/>
        </w:rPr>
        <w:t xml:space="preserve">Anti-Terrorism Act, 2009</w:t>
      </w:r>
    </w:p>
    <w:p>
      <w:r>
        <w:br w:type="page"/>
      </w:r>
    </w:p>
    <w:p>
      <w:pPr>
        <w:pStyle w:val="Heading1"/>
        <w:spacing w:before="400" w:after="200"/>
      </w:pPr>
      <w:r>
        <w:rPr>
          <w:rFonts w:ascii="Arial" w:cs="Arial" w:eastAsia="Arial" w:hAnsi="Arial"/>
          <w:b/>
          <w:bCs/>
          <w:sz w:val="32"/>
          <w:szCs w:val="32"/>
        </w:rPr>
        <w:t xml:space="preserve">12. DISCLAIMER AND TERMS</w:t>
      </w:r>
    </w:p>
    <w:p>
      <w:pPr>
        <w:spacing w:after="120"/>
        <w:jc w:val="both"/>
      </w:pPr>
      <w:r>
        <w:rPr>
          <w:rFonts w:ascii="Arial" w:cs="Arial" w:eastAsia="Arial" w:hAnsi="Arial"/>
          <w:sz w:val="22"/>
          <w:szCs w:val="22"/>
        </w:rPr>
        <w:t xml:space="preserve">This RFP does not constitute an offer or commitment to purchase any products or services. The issuing organization reserves the right to:</w:t>
      </w:r>
    </w:p>
    <w:p>
      <w:pPr>
        <w:pStyle w:val="ListParagraph"/>
        <w:numPr>
          <w:ilvl w:val="0"/>
          <w:numId w:val="2"/>
        </w:numPr>
        <w:spacing w:after="80"/>
      </w:pPr>
      <w:r>
        <w:rPr>
          <w:rFonts w:ascii="Arial" w:cs="Arial" w:eastAsia="Arial" w:hAnsi="Arial"/>
          <w:sz w:val="22"/>
          <w:szCs w:val="22"/>
        </w:rPr>
        <w:t xml:space="preserve">Reject any or all proposals without assigning reasons</w:t>
      </w:r>
    </w:p>
    <w:p>
      <w:pPr>
        <w:pStyle w:val="ListParagraph"/>
        <w:numPr>
          <w:ilvl w:val="0"/>
          <w:numId w:val="2"/>
        </w:numPr>
        <w:spacing w:after="80"/>
      </w:pPr>
      <w:r>
        <w:rPr>
          <w:rFonts w:ascii="Arial" w:cs="Arial" w:eastAsia="Arial" w:hAnsi="Arial"/>
          <w:sz w:val="22"/>
          <w:szCs w:val="22"/>
        </w:rPr>
        <w:t xml:space="preserve">Modify the scope, terms, or timeline of this RFP</w:t>
      </w:r>
    </w:p>
    <w:p>
      <w:pPr>
        <w:pStyle w:val="ListParagraph"/>
        <w:numPr>
          <w:ilvl w:val="0"/>
          <w:numId w:val="2"/>
        </w:numPr>
        <w:spacing w:after="80"/>
      </w:pPr>
      <w:r>
        <w:rPr>
          <w:rFonts w:ascii="Arial" w:cs="Arial" w:eastAsia="Arial" w:hAnsi="Arial"/>
          <w:sz w:val="22"/>
          <w:szCs w:val="22"/>
        </w:rPr>
        <w:t xml:space="preserve">Seek clarifications or additional information from vendors</w:t>
      </w:r>
    </w:p>
    <w:p>
      <w:pPr>
        <w:pStyle w:val="ListParagraph"/>
        <w:numPr>
          <w:ilvl w:val="0"/>
          <w:numId w:val="2"/>
        </w:numPr>
        <w:spacing w:after="80"/>
      </w:pPr>
      <w:r>
        <w:rPr>
          <w:rFonts w:ascii="Arial" w:cs="Arial" w:eastAsia="Arial" w:hAnsi="Arial"/>
          <w:sz w:val="22"/>
          <w:szCs w:val="22"/>
        </w:rPr>
        <w:t xml:space="preserve">Negotiate terms with one or more vendors before final selection</w:t>
      </w:r>
    </w:p>
    <w:p>
      <w:pPr>
        <w:pStyle w:val="ListParagraph"/>
        <w:numPr>
          <w:ilvl w:val="0"/>
          <w:numId w:val="2"/>
        </w:numPr>
        <w:spacing w:after="200"/>
      </w:pPr>
      <w:r>
        <w:rPr>
          <w:rFonts w:ascii="Arial" w:cs="Arial" w:eastAsia="Arial" w:hAnsi="Arial"/>
          <w:sz w:val="22"/>
          <w:szCs w:val="22"/>
        </w:rPr>
        <w:t xml:space="preserve">Cancel this RFP at any time</w:t>
      </w:r>
    </w:p>
    <w:p>
      <w:pPr>
        <w:spacing w:after="120"/>
        <w:jc w:val="both"/>
      </w:pPr>
      <w:r>
        <w:rPr>
          <w:rFonts w:ascii="Arial" w:cs="Arial" w:eastAsia="Arial" w:hAnsi="Arial"/>
          <w:sz w:val="22"/>
          <w:szCs w:val="22"/>
        </w:rPr>
        <w:t xml:space="preserve">All information contained in this RFP is confidential and proprietary. Vendors are prohibited from disclosing any part of this RFP to third parties without prior written consent.</w:t>
      </w:r>
    </w:p>
    <w:p>
      <w:pPr>
        <w:spacing w:after="400"/>
      </w:pPr>
    </w:p>
    <w:p>
      <w:pPr>
        <w:jc w:val="center"/>
      </w:pPr>
      <w:r>
        <w:rPr>
          <w:rFonts w:ascii="Arial" w:cs="Arial" w:eastAsia="Arial" w:hAnsi="Arial"/>
          <w:b/>
          <w:bCs/>
          <w:color w:val="1F4E79"/>
          <w:sz w:val="24"/>
          <w:szCs w:val="24"/>
        </w:rPr>
        <w:t xml:space="preserve">--- END OF RFP DOCUMENT ---</w:t>
      </w:r>
    </w:p>
    <w:p>
      <w:r>
        <w:rPr>
          <w:b/>
        </w:rPr>
        <w:t>Addendum — v3.1.0 corrections (Independent Forensic Re-audit, 8 October 2026)</w:t>
      </w:r>
    </w:p>
    <w:p>
      <w:r>
        <w:t>Vintage note (8 October 2026): this RFP template carries the January–May 2026 procurement calendar and pre-amendment regulatory references (BRPD 15/2024 baseline; BRPD Circular 05/2025 postdates it). Update §10.2 key dates and Annexure F references to the issuing bank's current cycle before reuse.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RFP: Loan Management System for Bangladesh Banking Sector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2026-01-26T07:30:54.379Z</dcterms:created>
  <dcterms:modified xsi:type="dcterms:W3CDTF">2026-01-26T07:30:54.380Z</dcterms:modified>
</cp:coreProperties>
</file>

<file path=docProps/custom.xml><?xml version="1.0" encoding="utf-8"?>
<Properties xmlns="http://schemas.openxmlformats.org/officeDocument/2006/custom-properties" xmlns:vt="http://schemas.openxmlformats.org/officeDocument/2006/docPropsVTypes"/>
</file>