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eastAsia="Calibri"/>
          <w:b/>
          <w:i w:val="0"/>
          <w:color w:val="1E2660"/>
          <w:sz w:val="17"/>
        </w:rPr>
        <w:t xml:space="preserve">UNISOFT SYSTEMS LIMITED </w:t>
      </w:r>
      <w:r>
        <w:rPr>
          <w:rFonts w:ascii="Calibri" w:hAnsi="Calibri" w:eastAsia="Calibri"/>
          <w:b w:val="0"/>
          <w:i w:val="0"/>
          <w:color w:val="555555"/>
          <w:sz w:val="16"/>
        </w:rPr>
        <w:t>· A SUBSIDIARY OF SMART TECHNOLOGIES BD LTD</w:t>
      </w:r>
    </w:p>
    <w:p>
      <w:pPr>
        <w:keepNext/>
        <w:spacing w:before="80" w:after="80"/>
      </w:pPr>
      <w:r>
        <w:rPr>
          <w:rFonts w:ascii="Calibri" w:hAnsi="Calibri" w:eastAsia="Calibri"/>
          <w:b/>
          <w:i w:val="0"/>
          <w:color w:val="1E2660"/>
          <w:sz w:val="38"/>
        </w:rPr>
        <w:t>Executive One-Pager: Why ULMS v2.0</w:t>
      </w:r>
    </w:p>
    <w:p>
      <w:pPr>
        <w:keepNext/>
        <w:spacing w:before="0" w:after="160"/>
      </w:pPr>
      <w:r>
        <w:rPr>
          <w:rFonts w:ascii="Calibri" w:hAnsi="Calibri" w:eastAsia="Calibri"/>
          <w:b/>
          <w:i w:val="0"/>
          <w:color w:val="3F51B5"/>
          <w:sz w:val="19"/>
        </w:rPr>
        <w:t xml:space="preserve">Commercial Banking Documentation · Document Ref: </w:t>
      </w:r>
      <w:r>
        <w:rPr>
          <w:rFonts w:ascii="Consolas" w:hAnsi="Consolas" w:eastAsia="Consolas"/>
          <w:b w:val="0"/>
          <w:i w:val="0"/>
          <w:color w:val="1E2660"/>
          <w:sz w:val="19"/>
        </w:rPr>
        <w:t>DOC-03-MKT-03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trHeight w:val="40" w:hRule="exact"/>
        </w:trPr>
        <w:tc>
          <w:tcPr>
            <w:tcW w:type="dxa" w:w="9638"/>
            <w:shd w:fill="1E2660"/>
          </w:tcPr>
          <w:p>
            <w:pPr>
              <w:spacing w:before="0" w:after="0"/>
            </w:pPr>
            <w:r>
              <w:rPr>
                <w:sz w:val="4"/>
              </w:rPr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  <w:cantSplit/>
        </w:trPr>
        <w:tc>
          <w:tcPr>
            <w:tcW w:type="dxa" w:w="1417"/>
            <w:shd w:fill="1E26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Document Identifier</w:t>
            </w:r>
          </w:p>
        </w:tc>
        <w:tc>
          <w:tcPr>
            <w:tcW w:type="dxa" w:w="1984"/>
            <w:shd w:fill="1E26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Release Version</w:t>
            </w:r>
          </w:p>
        </w:tc>
        <w:tc>
          <w:tcPr>
            <w:tcW w:type="dxa" w:w="1984"/>
            <w:shd w:fill="1E26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Security Classification</w:t>
            </w:r>
          </w:p>
        </w:tc>
        <w:tc>
          <w:tcPr>
            <w:tcW w:type="dxa" w:w="2551"/>
            <w:shd w:fill="1E26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Publication Date</w:t>
            </w:r>
          </w:p>
        </w:tc>
        <w:tc>
          <w:tcPr>
            <w:tcW w:type="dxa" w:w="1701"/>
            <w:shd w:fill="1E26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Target Audience</w:t>
            </w:r>
          </w:p>
        </w:tc>
      </w:tr>
      <w:tr>
        <w:trPr>
          <w:cantSplit/>
        </w:trPr>
        <w:tc>
          <w:tcPr>
            <w:tcW w:type="dxa" w:w="141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DOC-03-MKT-03</w:t>
            </w:r>
          </w:p>
        </w:tc>
        <w:tc>
          <w:tcPr>
            <w:tcW w:type="dxa" w:w="198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2.0.0</w:t>
            </w:r>
          </w:p>
        </w:tc>
        <w:tc>
          <w:tcPr>
            <w:tcW w:type="dxa" w:w="198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Commercial Executive Brief</w:t>
            </w:r>
          </w:p>
        </w:tc>
        <w:tc>
          <w:tcPr>
            <w:tcW w:type="dxa" w:w="2551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2026-10-08</w:t>
            </w:r>
          </w:p>
        </w:tc>
        <w:tc>
          <w:tcPr>
            <w:tcW w:type="dxa" w:w="1701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[bank_md, ceo, board_member, cfo, cro]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t>Executive Decision Brief: Why ULMS v2.0</w:t>
      </w:r>
    </w:p>
    <w:p>
      <w:pPr>
        <w:pStyle w:val="Heading2"/>
        <w:keepNext/>
      </w:pPr>
      <w:r>
        <w:t>Empowering Bangladesh's Bank Leadership with a Compliant, Sovereign Core Lending Platform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3199500"/>
            <wp:docPr id="1" name="Picture 1" descr="Executive portfolio analytics dashboard" title="Figure 1: Production UI — Executive Overview Dashboard &amp; Real-Time Performance Analytic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1_ho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Calibri"/>
          <w:b/>
          <w:i/>
          <w:color w:val="555555"/>
          <w:sz w:val="17"/>
        </w:rPr>
        <w:t>Figure 1: Production UI — Executive Overview Dashboard &amp; Real-Time Performance Analytics</w:t>
      </w:r>
    </w:p>
    <w:p>
      <w:pPr>
        <w:spacing w:after="8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Document Identifier: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DOC-03-MKT-03</w:t>
      </w:r>
    </w:p>
    <w:p>
      <w:pPr>
        <w:spacing w:after="8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Target Audience: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Managing Directors, Chief Executive Officers, Board ICT Committee Members, Chief Financial Officers</w:t>
      </w:r>
    </w:p>
    <w:p>
      <w:pPr>
        <w:spacing w:after="8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Publisher: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Unisoft Systems Limited (A Subsidiary of Smart Technologies BD Ltd)</w:t>
      </w:r>
    </w:p>
    <w:p>
      <w:pPr>
        <w:spacing w:after="8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Corporate Headquarters: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Youth Tower, Begum Rokeya Sarani, Dhaka-1216, Bangladesh</w:t>
      </w:r>
    </w:p>
    <w:p>
      <w:pPr>
        <w:spacing w:after="8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Classification: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Executive Commercial Asset</w:t>
      </w:r>
    </w:p>
    <w:p>
      <w:pPr>
        <w:pStyle w:val="Heading2"/>
        <w:keepNext/>
      </w:pPr>
      <w:r>
        <w:t>The 30-Second Executive Summary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1436248"/>
            <wp:docPr id="2" name="Picture 2" descr="Key performance indicators showing 6.64-month payback and 80% TAT reduction" title="Figure 2: Executive Proof — Quantified TCO Reductions, TAT Acceleration &amp; Payback Metric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7_kpi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436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Calibri"/>
          <w:b/>
          <w:i/>
          <w:color w:val="555555"/>
          <w:sz w:val="17"/>
        </w:rPr>
        <w:t>Figure 2: Executive Proof — Quantified TCO Reductions, TAT Acceleration &amp; Payback Metrics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In 2026, scheduled commercial banks in Bangladesh face an urgent triple challenge:</w:t>
      </w:r>
    </w:p>
    <w:p>
      <w:pPr>
        <w:pStyle w:val="ListNumber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Mounting Non-Performing Loans (NPLs)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driven by slow, paper-heavy underwriting;</w:t>
      </w:r>
    </w:p>
    <w:p>
      <w:pPr>
        <w:pStyle w:val="ListNumber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Strict Central Bank Mandates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, notably </w:t>
      </w:r>
      <w:r>
        <w:rPr>
          <w:rFonts w:ascii="Calibri" w:hAnsi="Calibri" w:eastAsia="Calibri"/>
          <w:b/>
          <w:i w:val="0"/>
          <w:color w:val="222222"/>
          <w:sz w:val="19"/>
        </w:rPr>
        <w:t>BRPD Circular 15/2024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(7-stage classification) and </w:t>
      </w:r>
      <w:r>
        <w:rPr>
          <w:rFonts w:ascii="Calibri" w:hAnsi="Calibri" w:eastAsia="Calibri"/>
          <w:b/>
          <w:i w:val="0"/>
          <w:color w:val="222222"/>
          <w:sz w:val="19"/>
        </w:rPr>
        <w:t>mandatory IFRS-9 ECL provisioning by December 2027</w:t>
      </w:r>
      <w:r>
        <w:rPr>
          <w:rFonts w:ascii="Calibri" w:hAnsi="Calibri" w:eastAsia="Calibri"/>
          <w:b w:val="0"/>
          <w:i w:val="0"/>
          <w:color w:val="222222"/>
          <w:sz w:val="19"/>
        </w:rPr>
        <w:t>;</w:t>
      </w:r>
    </w:p>
    <w:p>
      <w:pPr>
        <w:pStyle w:val="ListNumber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Crushing IT Costs &amp; Foreign Currency Depletion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caused by multi-million dollar foreign software licenses.</w:t>
      </w:r>
    </w:p>
    <w:p>
      <w:pPr>
        <w:spacing w:after="8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ULMS v2.0 (Unisoft Loan Management System)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provides a proven, sovereign alternative: an enterprise core lending and loan lifecycle platform engineered specifically for Bangladesh's banking sector. It cuts loan processing turnaround time by </w:t>
      </w:r>
      <w:r>
        <w:rPr>
          <w:rFonts w:ascii="Calibri" w:hAnsi="Calibri" w:eastAsia="Calibri"/>
          <w:b/>
          <w:i w:val="0"/>
          <w:color w:val="222222"/>
          <w:sz w:val="19"/>
        </w:rPr>
        <w:t>85%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, delivers </w:t>
      </w:r>
      <w:r>
        <w:rPr>
          <w:rFonts w:ascii="Calibri" w:hAnsi="Calibri" w:eastAsia="Calibri"/>
          <w:b/>
          <w:i w:val="0"/>
          <w:color w:val="222222"/>
          <w:sz w:val="19"/>
        </w:rPr>
        <w:t>100% native Bangladesh Bank regulatory compliance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, and reduces 5-year Total Cost of Ownership by </w:t>
      </w:r>
      <w:r>
        <w:rPr>
          <w:rFonts w:ascii="Calibri" w:hAnsi="Calibri" w:eastAsia="Calibri"/>
          <w:b/>
          <w:i w:val="0"/>
          <w:color w:val="222222"/>
          <w:sz w:val="19"/>
        </w:rPr>
        <w:t>70% to 85%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compared to foreign software suites.</w:t>
      </w:r>
    </w:p>
    <w:p>
      <w:pPr>
        <w:pStyle w:val="Heading2"/>
        <w:keepNext/>
      </w:pPr>
      <w:r>
        <w:t>The Strategic Choice: Comparing Three Paths Forward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3199500"/>
            <wp:docPr id="3" name="Picture 3" descr="Automated loan classification screen proving zero audit risk" title="Figure 3: Regulatory Proof — Automated 7-Stage BRPD Circular 15/2024 Engin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3_classific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Calibri"/>
          <w:b/>
          <w:i/>
          <w:color w:val="555555"/>
          <w:sz w:val="17"/>
        </w:rPr>
        <w:t>Figure 3: Regulatory Proof — Automated 7-Stage BRPD Circular 15/2024 Engine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1701"/>
            <w:shd w:fill="1E26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Decision Dimension</w:t>
            </w:r>
          </w:p>
        </w:tc>
        <w:tc>
          <w:tcPr>
            <w:tcW w:type="dxa" w:w="1814"/>
            <w:shd w:fill="1E26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Foreign Global Monoliths&lt;br/&gt;*(Finastra, Temenos, Nucleus)*</w:t>
            </w:r>
          </w:p>
        </w:tc>
        <w:tc>
          <w:tcPr>
            <w:tcW w:type="dxa" w:w="2438"/>
            <w:shd w:fill="1E26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In-House Custom Build&lt;br/&gt;*(Bank Internal IT Team)*</w:t>
            </w:r>
          </w:p>
        </w:tc>
        <w:tc>
          <w:tcPr>
            <w:tcW w:type="dxa" w:w="3685"/>
            <w:shd w:fill="1E26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Unisoft ULMS v2.0&lt;br/&gt;*(Specialized Domestic Platform)*</w:t>
            </w:r>
          </w:p>
        </w:tc>
      </w:tr>
      <w:tr>
        <w:trPr>
          <w:cantSplit/>
        </w:trPr>
        <w:tc>
          <w:tcPr>
            <w:tcW w:type="dxa" w:w="1701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222222"/>
                <w:sz w:val="18"/>
              </w:rPr>
              <w:t>Capital Investment (CapEx)</w:t>
            </w:r>
          </w:p>
        </w:tc>
        <w:tc>
          <w:tcPr>
            <w:tcW w:type="dxa" w:w="181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222222"/>
                <w:sz w:val="18"/>
              </w:rPr>
              <w:t>Astronomical:</w:t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 xml:space="preserve"> $3.0M to $7.0M USD (foreign-vendor band; Unisoft all-inclusive BDT ৳3–6 Crore)&lt;br/&gt;(BDT 30 to 70+ Crore)</w:t>
            </w:r>
          </w:p>
        </w:tc>
        <w:tc>
          <w:tcPr>
            <w:tcW w:type="dxa" w:w="243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222222"/>
                <w:sz w:val="18"/>
              </w:rPr>
              <w:t>High &amp; Unpredictable:</w:t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 xml:space="preserve"> ৳8 to 15 Crore in developer salaries &amp; tools</w:t>
            </w:r>
          </w:p>
        </w:tc>
        <w:tc>
          <w:tcPr>
            <w:tcW w:type="dxa" w:w="368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222222"/>
                <w:sz w:val="18"/>
              </w:rPr>
              <w:t>Radically Efficient:</w:t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 xml:space="preserve"> ৳5.80 Crore modeled Year-0 outlay (incl. ৳1.80 Crore hardware) per the DOC-32 base case</w:t>
            </w:r>
          </w:p>
        </w:tc>
      </w:tr>
      <w:tr>
        <w:trPr>
          <w:cantSplit/>
        </w:trPr>
        <w:tc>
          <w:tcPr>
            <w:tcW w:type="dxa" w:w="1701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222222"/>
                <w:sz w:val="18"/>
              </w:rPr>
              <w:t>Foreign Exchange (Forex) Drain</w:t>
            </w:r>
          </w:p>
        </w:tc>
        <w:tc>
          <w:tcPr>
            <w:tcW w:type="dxa" w:w="1814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Severe foreign currency drain on bank reserves</w:t>
            </w:r>
          </w:p>
        </w:tc>
        <w:tc>
          <w:tcPr>
            <w:tcW w:type="dxa" w:w="2438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Zero</w:t>
            </w:r>
          </w:p>
        </w:tc>
        <w:tc>
          <w:tcPr>
            <w:tcW w:type="dxa" w:w="3685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222222"/>
                <w:sz w:val="18"/>
              </w:rPr>
              <w:t>Zero:</w:t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 xml:space="preserve"> 100% domestic billing in BDT</w:t>
            </w:r>
          </w:p>
        </w:tc>
      </w:tr>
      <w:tr>
        <w:trPr>
          <w:cantSplit/>
        </w:trPr>
        <w:tc>
          <w:tcPr>
            <w:tcW w:type="dxa" w:w="1701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222222"/>
                <w:sz w:val="18"/>
              </w:rPr>
              <w:t>Time to Live Deployment</w:t>
            </w:r>
          </w:p>
        </w:tc>
        <w:tc>
          <w:tcPr>
            <w:tcW w:type="dxa" w:w="181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18 to 24+ months (historical Bangladesh average)</w:t>
            </w:r>
          </w:p>
        </w:tc>
        <w:tc>
          <w:tcPr>
            <w:tcW w:type="dxa" w:w="243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24 to 36+ months (chronic scope creep &amp; turnover)</w:t>
            </w:r>
          </w:p>
        </w:tc>
        <w:tc>
          <w:tcPr>
            <w:tcW w:type="dxa" w:w="368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222222"/>
                <w:sz w:val="18"/>
              </w:rPr>
              <w:t>12 Weeks to Pilot Go-Live;</w:t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&lt;br/&gt;6 months full branch network</w:t>
            </w:r>
          </w:p>
        </w:tc>
      </w:tr>
      <w:tr>
        <w:trPr>
          <w:cantSplit/>
        </w:trPr>
        <w:tc>
          <w:tcPr>
            <w:tcW w:type="dxa" w:w="1701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222222"/>
                <w:sz w:val="18"/>
              </w:rPr>
              <w:t>Bangladesh Bank Regulatory Alignment</w:t>
            </w:r>
          </w:p>
        </w:tc>
        <w:tc>
          <w:tcPr>
            <w:tcW w:type="dxa" w:w="1814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Zero out of the box; requires costly, delayed custom scripting</w:t>
            </w:r>
          </w:p>
        </w:tc>
        <w:tc>
          <w:tcPr>
            <w:tcW w:type="dxa" w:w="2438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Hit-or-miss; dependent on individual developer skills</w:t>
            </w:r>
          </w:p>
        </w:tc>
        <w:tc>
          <w:tcPr>
            <w:tcW w:type="dxa" w:w="3685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222222"/>
                <w:sz w:val="18"/>
              </w:rPr>
              <w:t>100% Native &amp; Guaranteed:</w:t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&lt;br/&gt;BRPD 15/2024, CIB REST, IFRS-9</w:t>
            </w:r>
          </w:p>
        </w:tc>
      </w:tr>
      <w:tr>
        <w:trPr>
          <w:cantSplit/>
        </w:trPr>
        <w:tc>
          <w:tcPr>
            <w:tcW w:type="dxa" w:w="1701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222222"/>
                <w:sz w:val="18"/>
              </w:rPr>
              <w:t>Dual Conventional &amp; Islamic Banking</w:t>
            </w:r>
          </w:p>
        </w:tc>
        <w:tc>
          <w:tcPr>
            <w:tcW w:type="dxa" w:w="181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Requires purchasing separate, expensive Islamic add-on modules</w:t>
            </w:r>
          </w:p>
        </w:tc>
        <w:tc>
          <w:tcPr>
            <w:tcW w:type="dxa" w:w="243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High risk of non-compliant Shariah accounting calculations</w:t>
            </w:r>
          </w:p>
        </w:tc>
        <w:tc>
          <w:tcPr>
            <w:tcW w:type="dxa" w:w="368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222222"/>
                <w:sz w:val="18"/>
              </w:rPr>
              <w:t>Native Dual Core:</w:t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 xml:space="preserve"> Complete Murabaha, Ijara, Musharaka engines</w:t>
            </w:r>
          </w:p>
        </w:tc>
      </w:tr>
      <w:tr>
        <w:trPr>
          <w:cantSplit/>
        </w:trPr>
        <w:tc>
          <w:tcPr>
            <w:tcW w:type="dxa" w:w="1701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222222"/>
                <w:sz w:val="18"/>
              </w:rPr>
              <w:t>On-Site Technical Support in Dhaka</w:t>
            </w:r>
          </w:p>
        </w:tc>
        <w:tc>
          <w:tcPr>
            <w:tcW w:type="dxa" w:w="1814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Remote offshore call centers; slow escalation</w:t>
            </w:r>
          </w:p>
        </w:tc>
        <w:tc>
          <w:tcPr>
            <w:tcW w:type="dxa" w:w="2438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Vulnerable to internal developer resignations</w:t>
            </w:r>
          </w:p>
        </w:tc>
        <w:tc>
          <w:tcPr>
            <w:tcW w:type="dxa" w:w="3685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222222"/>
                <w:sz w:val="18"/>
              </w:rPr>
              <w:t>Dedicated 24/7 Local Team:</w:t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&lt;br/&gt;Dhaka-based engineers, 30-min SLA</w:t>
            </w:r>
          </w:p>
        </w:tc>
      </w:tr>
      <w:tr>
        <w:trPr>
          <w:cantSplit/>
        </w:trPr>
        <w:tc>
          <w:tcPr>
            <w:tcW w:type="dxa" w:w="1701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222222"/>
                <w:sz w:val="18"/>
              </w:rPr>
              <w:t>CBS Integration Compatibility</w:t>
            </w:r>
          </w:p>
        </w:tc>
        <w:tc>
          <w:tcPr>
            <w:tcW w:type="dxa" w:w="181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Rigid; pushes expensive proprietary middleware</w:t>
            </w:r>
          </w:p>
        </w:tc>
        <w:tc>
          <w:tcPr>
            <w:tcW w:type="dxa" w:w="243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Custom, brittle point-to-point scripts</w:t>
            </w:r>
          </w:p>
        </w:tc>
        <w:tc>
          <w:tcPr>
            <w:tcW w:type="dxa" w:w="368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222222"/>
                <w:sz w:val="18"/>
              </w:rPr>
              <w:t>Pre-Built Connectors:</w:t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 xml:space="preserve"> Temenos, Oracle, Finacle, Flora Bank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Four Strategic Imperatives for the Boardroom</w:t>
      </w:r>
    </w:p>
    <w:p>
      <w:pPr>
        <w:pStyle w:val="Heading3"/>
        <w:keepNext/>
      </w:pPr>
      <w:r>
        <w:t>1. Protect Asset Quality &amp; Eliminate Regulatory Fines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ULMS v2.0 replaces manual spreadsheet checks with automated, real-time </w:t>
      </w:r>
      <w:r>
        <w:rPr>
          <w:rFonts w:ascii="Calibri" w:hAnsi="Calibri" w:eastAsia="Calibri"/>
          <w:b/>
          <w:i w:val="0"/>
          <w:color w:val="222222"/>
          <w:sz w:val="19"/>
        </w:rPr>
        <w:t>Bangladesh Bank CIB Online inquiries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, automated deduplication across NID and TIN numbers, and an automated </w:t>
      </w:r>
      <w:r>
        <w:rPr>
          <w:rFonts w:ascii="Calibri" w:hAnsi="Calibri" w:eastAsia="Calibri"/>
          <w:b/>
          <w:i w:val="0"/>
          <w:color w:val="222222"/>
          <w:sz w:val="19"/>
        </w:rPr>
        <w:t>BRPD Circular 15/2024 7-stage classification engine</w:t>
      </w:r>
      <w:r>
        <w:rPr>
          <w:rFonts w:ascii="Calibri" w:hAnsi="Calibri" w:eastAsia="Calibri"/>
          <w:b w:val="0"/>
          <w:i w:val="0"/>
          <w:color w:val="222222"/>
          <w:sz w:val="19"/>
        </w:rPr>
        <w:t>. Accounts transition deterministically across STD-0, STD-1, STD-2, SMA, SS, DF, and Bad/Loss with automated general and specific provisioning, eliminating misclassification fines.</w:t>
      </w:r>
    </w:p>
    <w:p>
      <w:pPr>
        <w:pStyle w:val="Heading3"/>
        <w:keepNext/>
      </w:pPr>
      <w:r>
        <w:t>2. Capture Market Share Through Unrivaled Operational Speed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By eliminating physical BOCC file shuttling and digitizing credit memos into an encrypted digital vault, ULMS collapses loan decisioning from </w:t>
      </w:r>
      <w:r>
        <w:rPr>
          <w:rFonts w:ascii="Calibri" w:hAnsi="Calibri" w:eastAsia="Calibri"/>
          <w:b/>
          <w:i w:val="0"/>
          <w:color w:val="222222"/>
          <w:sz w:val="19"/>
        </w:rPr>
        <w:t>21 business days to 48 hours</w:t>
      </w:r>
      <w:r>
        <w:rPr>
          <w:rFonts w:ascii="Calibri" w:hAnsi="Calibri" w:eastAsia="Calibri"/>
          <w:b w:val="0"/>
          <w:i w:val="0"/>
          <w:color w:val="222222"/>
          <w:sz w:val="19"/>
        </w:rPr>
        <w:t>. High-credit-quality borrowers are approved and disbursed before competitor banks have even scheduled their branch credit committee.</w:t>
      </w:r>
    </w:p>
    <w:p>
      <w:pPr>
        <w:pStyle w:val="Heading3"/>
        <w:keepNext/>
      </w:pPr>
      <w:r>
        <w:t>3. Settle the 2027 IFRS-9 Crisis Today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While foreign vendors treat IFRS-9 as a complex multi-million dollar consulting project, ULMS v2.0 embeds a complete forward-looking </w:t>
      </w:r>
      <w:r>
        <w:rPr>
          <w:rFonts w:ascii="Calibri" w:hAnsi="Calibri" w:eastAsia="Calibri"/>
          <w:b/>
          <w:i w:val="0"/>
          <w:color w:val="222222"/>
          <w:sz w:val="19"/>
        </w:rPr>
        <w:t>Stage 1, Stage 2 (SICR), and Stage 3 Expected Credit Loss (ECL)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engine natively. Banks adopting ULMS achieve complete central bank audit readiness well ahead of the December 31, 2027 statutory deadline.</w:t>
      </w:r>
    </w:p>
    <w:p>
      <w:pPr>
        <w:pStyle w:val="Heading3"/>
        <w:keepNext/>
      </w:pPr>
      <w:r>
        <w:t>4. Backed by Institutional Strength: Unisoft &amp; Smart Technologies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Unisoft Systems Limited is not a startup. Backed by </w:t>
      </w:r>
      <w:r>
        <w:rPr>
          <w:rFonts w:ascii="Calibri" w:hAnsi="Calibri" w:eastAsia="Calibri"/>
          <w:b/>
          <w:i w:val="0"/>
          <w:color w:val="222222"/>
          <w:sz w:val="19"/>
        </w:rPr>
        <w:t>Smart Technologies BD Ltd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—one of Bangladesh's largest technology conglomerates with annual group turnover exceeding </w:t>
      </w:r>
      <w:r>
        <w:rPr>
          <w:rFonts w:ascii="Calibri" w:hAnsi="Calibri" w:eastAsia="Calibri"/>
          <w:b/>
          <w:i w:val="0"/>
          <w:color w:val="222222"/>
          <w:sz w:val="19"/>
        </w:rPr>
        <w:t>৳2,000 Crore</w:t>
      </w:r>
      <w:r>
        <w:rPr>
          <w:rFonts w:ascii="Calibri" w:hAnsi="Calibri" w:eastAsia="Calibri"/>
          <w:b w:val="0"/>
          <w:i w:val="0"/>
          <w:color w:val="222222"/>
          <w:sz w:val="19"/>
        </w:rPr>
        <w:t>—Unisoft brings a 10-year track record, 150+ enterprise implementations, and the official regulatory credibility of developing the NBR-Approved UniVAT™ enterprise system.</w:t>
      </w:r>
    </w:p>
    <w:p>
      <w:pPr>
        <w:pStyle w:val="Heading2"/>
        <w:keepNext/>
      </w:pPr>
      <w:r>
        <w:t>The Financial Return: Sub-7-Month Capital Payback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For a commercial bank managing a </w:t>
      </w:r>
      <w:r>
        <w:rPr>
          <w:rFonts w:ascii="Calibri" w:hAnsi="Calibri" w:eastAsia="Calibri"/>
          <w:b/>
          <w:i w:val="0"/>
          <w:color w:val="222222"/>
          <w:sz w:val="19"/>
        </w:rPr>
        <w:t>BDT 10,000 Crore loan portfolio</w:t>
      </w:r>
      <w:r>
        <w:rPr>
          <w:rFonts w:ascii="Calibri" w:hAnsi="Calibri" w:eastAsia="Calibri"/>
          <w:b w:val="0"/>
          <w:i w:val="0"/>
          <w:color w:val="222222"/>
          <w:sz w:val="19"/>
        </w:rPr>
        <w:t>: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Direct Labor Savings: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60% reduction in branch officer paper preparation time (= ৳1.18 Crore saved annually).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NPL Loss Reduction: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A modest 0.75% reduction in credit losses via automated CIB and DBR underwriting (= ৳7.5 Crore saved annually).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Regulatory Compliance Savings: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Zero central bank non-compliance penalties and avoided external consulting fees (= ৳0.60 Crore saved annually).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Net Financial Impact: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</w:t>
      </w:r>
      <w:r>
        <w:rPr>
          <w:rFonts w:ascii="Calibri" w:hAnsi="Calibri" w:eastAsia="Calibri"/>
          <w:b/>
          <w:i w:val="0"/>
          <w:color w:val="222222"/>
          <w:sz w:val="19"/>
        </w:rPr>
        <w:t>Full capital recovery achieved in 6.64 months (sub-7 months); 5-year cumulative net cash benefit of BDT 48.23 Crore (NPV: BDT 32.94 Crore at 12% corporate discount rate; IRR: 164.5%).</w:t>
      </w:r>
    </w:p>
    <w:p>
      <w:pPr>
        <w:pStyle w:val="Heading2"/>
        <w:keepNext/>
      </w:pPr>
      <w:r>
        <w:t>Recommended Executive Action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Do not commit your institution to multi-million dollar foreign software contracts or years of internal development delay.</w:t>
      </w:r>
    </w:p>
    <w:p>
      <w:pPr>
        <w:spacing w:after="8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Commission a 45-Minute Executive Briefing &amp; Live System Demonstration: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Direct Executive Hotline: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+880 1709-642404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Email: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office@uslbd.com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Corporate Address: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Youth Tower, Begum Rokeya Sarani, Dhaka-1216, Bangladesh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Web: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</w:t>
      </w:r>
      <w:r>
        <w:rPr>
          <w:rFonts w:ascii="Calibri" w:hAnsi="Calibri" w:eastAsia="Calibri"/>
          <w:b w:val="0"/>
          <w:i w:val="0"/>
          <w:color w:val="3F51B5"/>
          <w:sz w:val="19"/>
          <w:u w:val="single"/>
        </w:rPr>
        <w:t>www.uslbd.com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/>
          <w:color w:val="222222"/>
          <w:sz w:val="19"/>
        </w:rPr>
        <w:t>Unisoft Systems Limited — Building Tomorrow's Banking Technology Today.</w:t>
      </w:r>
    </w:p>
    <w:p>
      <w:r>
        <w:rPr>
          <w:b/>
        </w:rPr>
        <w:t>Addendum — v3.1.0 corrections (Independent Forensic Re-audit, 8 October 2026)</w:t>
      </w:r>
    </w:p>
    <w:p>
      <w:r>
        <w:t>Financial components aligned to the DOC-32 base case: labor ৳1.18 Cr/yr, compliance ৳0.60 Cr/yr, Year-0 outlay ৳5.80 Cr, gross savings ৳10.48 Cr/yr, 5-year net ৳48.23 Cr, payback 6.64 months (8.5 conservative).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555555"/>
        <w:sz w:val="16"/>
      </w:rPr>
      <w:t xml:space="preserve">Unisoft Systems Limited · Strictly Confidential · Page </w:t>
    </w:r>
    <w:fldSimple w:instr="PAGE"/>
    <w:r>
      <w:rPr>
        <w:rFonts w:ascii="Calibri" w:hAnsi="Calibri" w:eastAsia="Calibri"/>
        <w:b w:val="0"/>
        <w:i w:val="0"/>
        <w:color w:val="555555"/>
        <w:sz w:val="16"/>
      </w:rPr>
      <w:t xml:space="preserve"> of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i w:val="0"/>
        <w:color w:val="555555"/>
        <w:sz w:val="16"/>
      </w:rPr>
      <w:t>Unisoft Loan Management System (ULMS v2.0) — Executive One-Pager: Why ULMS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 w:eastAsia="Calibri"/>
      <w:color w:val="22222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E266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E266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E266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Executive One-Pager: Why ULMS v2.0</dc:title>
  <dc:subject/>
  <dc:creator>Unisoft Systems Limited</dc:creator>
  <cp:keywords/>
  <dc:description>A Subsidiary of Smart Technologies BD Ltd</dc:description>
  <cp:lastModifiedBy/>
  <cp:revision>1</cp:revision>
  <dcterms:created xsi:type="dcterms:W3CDTF">2013-12-23T23:15:00Z</dcterms:created>
  <dcterms:modified xsi:type="dcterms:W3CDTF">2013-12-23T23:15:00Z</dcterms:modified>
  <cp:category>Commercial Banking Documentation</cp:category>
</cp:coreProperties>
</file>