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Competitive Battlecard - ULMS v2.0 vs. Nucleus Software FinnOne Neo</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DOC-13-BAT-03</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DOC-13-BAT-03</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Confidential Internal Sales Enablement</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[account_executive, solution_architect, sales_director, pre_sales_engineer]</w:t>
            </w:r>
          </w:p>
        </w:tc>
      </w:tr>
    </w:tbl>
    <w:p>
      <w:pPr>
        <w:spacing w:after="80"/>
      </w:pPr>
    </w:p>
    <w:p>
      <w:pPr>
        <w:pStyle w:val="Heading1"/>
        <w:keepNext/>
      </w:pPr>
      <w:r>
        <w:t>Competitive Battlecard: ULMS v2.0 vs. Nucleus Software FinnOne Neo</w:t>
      </w:r>
    </w:p>
    <w:p>
      <w:pPr>
        <w:pStyle w:val="Heading2"/>
        <w:keepNext/>
      </w:pPr>
      <w:r>
        <w:t>Head-to-Head Competitive Intelligence, Cross-Border Vulnerabilities &amp; Differentiation Playbook</w:t>
      </w:r>
    </w:p>
    <w:p>
      <w:pPr>
        <w:keepNext/>
        <w:spacing w:before="160" w:after="40"/>
        <w:jc w:val="center"/>
      </w:pPr>
      <w:r>
        <w:drawing>
          <wp:inline xmlns:a="http://schemas.openxmlformats.org/drawingml/2006/main" xmlns:pic="http://schemas.openxmlformats.org/drawingml/2006/picture">
            <wp:extent cx="5688000" cy="3199500"/>
            <wp:docPr id="1" name="Picture 1" descr="Staff authentication interface" title="Figure 1: Sovereign Security — Local Biometric Authentication &amp; Zero Offshore Data Transmission"/>
            <wp:cNvGraphicFramePr>
              <a:graphicFrameLocks noChangeAspect="1"/>
            </wp:cNvGraphicFramePr>
            <a:graphic>
              <a:graphicData uri="http://schemas.openxmlformats.org/drawingml/2006/picture">
                <pic:pic>
                  <pic:nvPicPr>
                    <pic:cNvPr id="0" name="s00_staff_login.png"/>
                    <pic:cNvPicPr/>
                  </pic:nvPicPr>
                  <pic:blipFill>
                    <a:blip r:embed="rId11"/>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1: Sovereign Security — Local Biometric Authentication &amp; Zero Offshore Data Transmission</w:t>
      </w:r>
    </w:p>
    <w:p>
      <w:pPr>
        <w:spacing w:after="80" w:line="276" w:lineRule="auto"/>
      </w:pPr>
      <w:r>
        <w:rPr>
          <w:rFonts w:ascii="Calibri" w:hAnsi="Calibri" w:eastAsia="Calibri"/>
          <w:b/>
          <w:i w:val="0"/>
          <w:color w:val="222222"/>
          <w:sz w:val="19"/>
        </w:rPr>
        <w:t>Document Identifier:</w:t>
      </w:r>
      <w:r>
        <w:rPr>
          <w:rFonts w:ascii="Calibri" w:hAnsi="Calibri" w:eastAsia="Calibri"/>
          <w:b w:val="0"/>
          <w:i w:val="0"/>
          <w:color w:val="222222"/>
          <w:sz w:val="19"/>
        </w:rPr>
        <w:t xml:space="preserve"> DOC-13-BAT-03</w:t>
      </w:r>
    </w:p>
    <w:p>
      <w:pPr>
        <w:spacing w:after="80" w:line="276" w:lineRule="auto"/>
      </w:pPr>
      <w:r>
        <w:rPr>
          <w:rFonts w:ascii="Calibri" w:hAnsi="Calibri" w:eastAsia="Calibri"/>
          <w:b/>
          <w:i w:val="0"/>
          <w:color w:val="222222"/>
          <w:sz w:val="19"/>
        </w:rPr>
        <w:t>Target Competitor:</w:t>
      </w:r>
      <w:r>
        <w:rPr>
          <w:rFonts w:ascii="Calibri" w:hAnsi="Calibri" w:eastAsia="Calibri"/>
          <w:b w:val="0"/>
          <w:i w:val="0"/>
          <w:color w:val="222222"/>
          <w:sz w:val="19"/>
        </w:rPr>
        <w:t xml:space="preserve"> Nucleus Software Exports Limited (FinnOne Neo Lending Suite)</w:t>
      </w:r>
    </w:p>
    <w:p>
      <w:pPr>
        <w:spacing w:after="80" w:line="276" w:lineRule="auto"/>
      </w:pPr>
      <w:r>
        <w:rPr>
          <w:rFonts w:ascii="Calibri" w:hAnsi="Calibri" w:eastAsia="Calibri"/>
          <w:b/>
          <w:i w:val="0"/>
          <w:color w:val="222222"/>
          <w:sz w:val="19"/>
        </w:rPr>
        <w:t>Author:</w:t>
      </w:r>
      <w:r>
        <w:rPr>
          <w:rFonts w:ascii="Calibri" w:hAnsi="Calibri" w:eastAsia="Calibri"/>
          <w:b w:val="0"/>
          <w:i w:val="0"/>
          <w:color w:val="222222"/>
          <w:sz w:val="19"/>
        </w:rPr>
        <w:t xml:space="preserve"> Lead Competitive Intelligence Architect &amp; Head of Banking Strategy</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Strictly Confidential — Internal Sales Team Only</w:t>
      </w:r>
    </w:p>
    <w:p>
      <w:pPr>
        <w:pStyle w:val="Heading2"/>
        <w:keepNext/>
      </w:pPr>
      <w:r>
        <w:t>1. Executive Competitor Profile</w:t>
      </w:r>
    </w:p>
    <w:p>
      <w:pPr>
        <w:keepNext/>
        <w:spacing w:before="160" w:after="40"/>
        <w:jc w:val="center"/>
      </w:pPr>
      <w:r>
        <w:drawing>
          <wp:inline xmlns:a="http://schemas.openxmlformats.org/drawingml/2006/main" xmlns:pic="http://schemas.openxmlformats.org/drawingml/2006/picture">
            <wp:extent cx="5688000" cy="3199500"/>
            <wp:docPr id="2" name="Picture 2" descr="Delinquency management and recovery dashboard" title="Figure 2: Operations Advantage — Real-Time DPD Bucket Tracking &amp; Local Recovery Rails"/>
            <wp:cNvGraphicFramePr>
              <a:graphicFrameLocks noChangeAspect="1"/>
            </wp:cNvGraphicFramePr>
            <a:graphic>
              <a:graphicData uri="http://schemas.openxmlformats.org/drawingml/2006/picture">
                <pic:pic>
                  <pic:nvPicPr>
                    <pic:cNvPr id="0" name="s04_collections.png"/>
                    <pic:cNvPicPr/>
                  </pic:nvPicPr>
                  <pic:blipFill>
                    <a:blip r:embed="rId12"/>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2: Operations Advantage — Real-Time DPD Bucket Tracking &amp; Local Recovery Rails</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3213"/>
        <w:gridCol w:w="3213"/>
        <w:gridCol w:w="3213"/>
      </w:tblGrid>
      <w:tr>
        <w:trPr>
          <w:tblHeader w:val="true"/>
          <w:cantSplit/>
        </w:trPr>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Parameter</w:t>
            </w:r>
          </w:p>
        </w:tc>
        <w:tc>
          <w:tcPr>
            <w:tcW w:type="dxa" w:w="3118"/>
            <w:shd w:fill="1E2660"/>
            <w:tcMar>
              <w:top w:w="140" w:type="dxa"/>
              <w:bottom w:w="140" w:type="dxa"/>
              <w:left w:w="180" w:type="dxa"/>
              <w:right w:w="180" w:type="dxa"/>
            </w:tcMar>
          </w:tcPr>
          <w:p>
            <w:pPr>
              <w:spacing w:after="40"/>
            </w:pPr>
            <w:r>
              <w:rPr>
                <w:rFonts w:ascii="Calibri" w:hAnsi="Calibri" w:eastAsia="Calibri"/>
                <w:b/>
                <w:i w:val="0"/>
                <w:color w:val="FFFFFF"/>
                <w:sz w:val="18"/>
              </w:rPr>
              <w:t>Nucleus Software FinnOne Neo</w:t>
            </w:r>
          </w:p>
        </w:tc>
        <w:tc>
          <w:tcPr>
            <w:tcW w:type="dxa" w:w="4535"/>
            <w:shd w:fill="1E2660"/>
            <w:tcMar>
              <w:top w:w="140" w:type="dxa"/>
              <w:bottom w:w="140" w:type="dxa"/>
              <w:left w:w="180" w:type="dxa"/>
              <w:right w:w="180" w:type="dxa"/>
            </w:tcMar>
          </w:tcPr>
          <w:p>
            <w:pPr>
              <w:spacing w:after="40"/>
            </w:pPr>
            <w:r>
              <w:rPr>
                <w:rFonts w:ascii="Calibri" w:hAnsi="Calibri" w:eastAsia="Calibri"/>
                <w:b/>
                <w:i w:val="0"/>
                <w:color w:val="FFFFFF"/>
                <w:sz w:val="18"/>
              </w:rPr>
              <w:t>Unisoft ULMS v2.0</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Headquarters &amp; Origin</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Noida, India</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Dhaka, Bangladesh (Smart Technologies Group)</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Bangladesh Footprint</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Several NBFIs &amp; Private Commercial Banks</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150+ Enterprise Deployments, National Banking Footprint</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Primary Architecture</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Proprietary Java EE Monolith, Oracle DB Dependent</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Modular Monolith (Spring Boot 4, PostgreSQL 17, React 19)</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Pricing &amp; Currency</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USD Denominated ($1.2M – $2.5M USD)</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100% BDT Denominated (BDT 4.00 Crore Turnkey)</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Cross-Border Tax Burden</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20% Withholding Tax (WHT) + Cross-border Remittance Friction</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100% Domestic Billing; 0% Cross-Border Tax Penalties</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Local Presence</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Small liaison office / remote flying engineers</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Dedicated 40+ Person Engineering HQ in Begum Rokeya Sarani, Dhaka</w:t>
            </w:r>
          </w:p>
        </w:tc>
      </w:tr>
    </w:tbl>
    <w:p>
      <w:pPr>
        <w:spacing w:after="80"/>
      </w:pPr>
    </w:p>
    <w:p>
      <w:pPr>
        <w:pStyle w:val="Heading2"/>
        <w:keepNext/>
      </w:pPr>
      <w:r>
        <w:t>2. Competitor Strengths (Where FinnOne Neo Excels)</w:t>
      </w:r>
    </w:p>
    <w:p>
      <w:pPr>
        <w:keepNext/>
        <w:spacing w:before="160" w:after="40"/>
        <w:jc w:val="center"/>
      </w:pPr>
      <w:r>
        <w:drawing>
          <wp:inline xmlns:a="http://schemas.openxmlformats.org/drawingml/2006/main" xmlns:pic="http://schemas.openxmlformats.org/drawingml/2006/picture">
            <wp:extent cx="5688000" cy="2342118"/>
            <wp:docPr id="3" name="Picture 3" descr="Topology diagram proving compliance with Bangladesh Bank ICT Security Guidelines" title="Figure 3: Sovereign Hosting — 100% In-Country Sovereign Deployment vs. Offshore Managed Services"/>
            <wp:cNvGraphicFramePr>
              <a:graphicFrameLocks noChangeAspect="1"/>
            </wp:cNvGraphicFramePr>
            <a:graphic>
              <a:graphicData uri="http://schemas.openxmlformats.org/drawingml/2006/picture">
                <pic:pic>
                  <pic:nvPicPr>
                    <pic:cNvPr id="0" name="E6_topology.png"/>
                    <pic:cNvPicPr/>
                  </pic:nvPicPr>
                  <pic:blipFill>
                    <a:blip r:embed="rId13"/>
                    <a:stretch>
                      <a:fillRect/>
                    </a:stretch>
                  </pic:blipFill>
                  <pic:spPr>
                    <a:xfrm>
                      <a:off x="0" y="0"/>
                      <a:ext cx="5688000" cy="2342118"/>
                    </a:xfrm>
                    <a:prstGeom prst="rect"/>
                  </pic:spPr>
                </pic:pic>
              </a:graphicData>
            </a:graphic>
          </wp:inline>
        </w:drawing>
      </w:r>
    </w:p>
    <w:p>
      <w:pPr>
        <w:spacing w:before="40" w:after="160"/>
        <w:jc w:val="center"/>
      </w:pPr>
      <w:r>
        <w:rPr>
          <w:rFonts w:ascii="Calibri" w:hAnsi="Calibri" w:eastAsia="Calibri"/>
          <w:b/>
          <w:i/>
          <w:color w:val="555555"/>
          <w:sz w:val="17"/>
        </w:rPr>
        <w:t>Figure 3: Sovereign Hosting — 100% In-Country Sovereign Deployment vs. Offshore Managed Services</w:t>
      </w:r>
    </w:p>
    <w:p>
      <w:pPr>
        <w:pStyle w:val="ListBullet"/>
        <w:spacing w:after="40" w:line="276" w:lineRule="auto"/>
      </w:pPr>
      <w:r>
        <w:rPr>
          <w:rFonts w:ascii="Calibri" w:hAnsi="Calibri" w:eastAsia="Calibri"/>
          <w:b/>
          <w:i w:val="0"/>
          <w:color w:val="222222"/>
          <w:sz w:val="19"/>
        </w:rPr>
        <w:t>Established Retail Lending Reputation:</w:t>
      </w:r>
      <w:r>
        <w:rPr>
          <w:rFonts w:ascii="Calibri" w:hAnsi="Calibri" w:eastAsia="Calibri"/>
          <w:b w:val="0"/>
          <w:i w:val="0"/>
          <w:color w:val="222222"/>
          <w:sz w:val="19"/>
        </w:rPr>
        <w:t xml:space="preserve"> Extensive adoption across Indian non-banking financial companies (NBFCs) and retail banks.</w:t>
      </w:r>
    </w:p>
    <w:p>
      <w:pPr>
        <w:pStyle w:val="ListBullet"/>
        <w:spacing w:after="40" w:line="276" w:lineRule="auto"/>
      </w:pPr>
      <w:r>
        <w:rPr>
          <w:rFonts w:ascii="Calibri" w:hAnsi="Calibri" w:eastAsia="Calibri"/>
          <w:b/>
          <w:i w:val="0"/>
          <w:color w:val="222222"/>
          <w:sz w:val="19"/>
        </w:rPr>
        <w:t>Granular LOS Features:</w:t>
      </w:r>
      <w:r>
        <w:rPr>
          <w:rFonts w:ascii="Calibri" w:hAnsi="Calibri" w:eastAsia="Calibri"/>
          <w:b w:val="0"/>
          <w:i w:val="0"/>
          <w:color w:val="222222"/>
          <w:sz w:val="19"/>
        </w:rPr>
        <w:t xml:space="preserve"> Deep consumer loan origination rule engines for personal, auto, and home financing.</w:t>
      </w:r>
    </w:p>
    <w:p>
      <w:pPr>
        <w:pStyle w:val="ListBullet"/>
        <w:spacing w:after="40" w:line="276" w:lineRule="auto"/>
      </w:pPr>
      <w:r>
        <w:rPr>
          <w:rFonts w:ascii="Calibri" w:hAnsi="Calibri" w:eastAsia="Calibri"/>
          <w:b/>
          <w:i w:val="0"/>
          <w:color w:val="222222"/>
          <w:sz w:val="19"/>
        </w:rPr>
        <w:t>Regional Brand Equity:</w:t>
      </w:r>
      <w:r>
        <w:rPr>
          <w:rFonts w:ascii="Calibri" w:hAnsi="Calibri" w:eastAsia="Calibri"/>
          <w:b w:val="0"/>
          <w:i w:val="0"/>
          <w:color w:val="222222"/>
          <w:sz w:val="19"/>
        </w:rPr>
        <w:t xml:space="preserve"> Recognized across South Asia and the Middle East for specialized retail loan servicing.</w:t>
      </w:r>
    </w:p>
    <w:p>
      <w:pPr>
        <w:pStyle w:val="Heading2"/>
        <w:keepNext/>
      </w:pPr>
      <w:r>
        <w:t>3. Competitor Critical Vulnerabilities (Where ULMS Wins)</w:t>
      </w:r>
    </w:p>
    <w:tbl>
      <w:tblPr>
        <w:tblW w:type="auto" w:w="0"/>
        <w:jc w:val="center"/>
        <w:tblLook w:firstColumn="1" w:firstRow="1" w:lastColumn="0" w:lastRow="0" w:noHBand="0" w:noVBand="1" w:val="04A0"/>
      </w:tblPr>
      <w:tblGrid>
        <w:gridCol w:w="9638"/>
      </w:tblGrid>
      <w:tr>
        <w:tc>
          <w:tcPr>
            <w:tcW w:type="dxa" w:w="9638"/>
            <w:shd w:fill="EEF0FA"/>
            <w:tcMar>
              <w:top w:w="140" w:type="dxa"/>
              <w:bottom w:w="140" w:type="dxa"/>
              <w:left w:w="200" w:type="dxa"/>
              <w:right w:w="180" w:type="dxa"/>
            </w:tcMar>
            <w:tcBorders>
              <w:top w:val="none"/>
              <w:left w:val="single" w:sz="36" w:space="0" w:color="1E2660"/>
              <w:bottom w:val="none"/>
              <w:right w:val="none"/>
            </w:tcBorders>
          </w:tcPr>
          <w:p>
            <w:pPr>
              <w:spacing w:after="40" w:line="276" w:lineRule="auto"/>
            </w:pPr>
            <w:r>
              <w:rPr>
                <w:rFonts w:ascii="Calibri" w:hAnsi="Calibri" w:eastAsia="Calibri"/>
                <w:b/>
                <w:i w:val="0"/>
                <w:color w:val="1E2660"/>
                <w:sz w:val="18"/>
              </w:rPr>
              <w:t xml:space="preserve">System Architecture Specification (Mermaid DSL):  </w:t>
            </w:r>
            <w:r>
              <w:rPr>
                <w:rFonts w:ascii="Calibri" w:hAnsi="Calibri" w:eastAsia="Calibri"/>
                <w:b w:val="0"/>
                <w:i w:val="0"/>
                <w:color w:val="222222"/>
                <w:sz w:val="18"/>
              </w:rPr>
              <w:t>[Diagram Topology: flowchart TD]</w:t>
              <w:br/>
              <w:t>flowchart TD</w:t>
              <w:br/>
              <w:t xml:space="preserve">    subgraph FinnOne ["FinnOne Neo Vulnerabilities"]</w:t>
              <w:br/>
              <w:t xml:space="preserve">        F1["Cross-Border Remittance &amp; 20% WHT Friction"]</w:t>
              <w:br/>
              <w:t xml:space="preserve">        F2["Offshore Support Delays &amp; India Travel Bureaucracy"]</w:t>
              <w:br/>
              <w:t xml:space="preserve">        F3["Proprietary Oracle DB Overhead &amp; License Multipliers"]</w:t>
              <w:br/>
              <w:t xml:space="preserve">        F4["Retrofitted Bangladesh Bank BRPD 15 Regulatory Rules"]</w:t>
            </w:r>
          </w:p>
        </w:tc>
      </w:tr>
    </w:tbl>
    <w:p>
      <w:pPr>
        <w:spacing w:after="80"/>
      </w:pPr>
    </w:p>
    <w:p>
      <w:pPr>
        <w:pStyle w:val="Heading3"/>
        <w:keepNext/>
      </w:pPr>
      <w:r>
        <w:t>1. The Cross-Border Payment and Tax Penalty Trap:</w:t>
      </w:r>
    </w:p>
    <w:p>
      <w:pPr>
        <w:pStyle w:val="ListBullet"/>
        <w:spacing w:after="40" w:line="276" w:lineRule="auto"/>
      </w:pPr>
      <w:r>
        <w:rPr>
          <w:rFonts w:ascii="Calibri" w:hAnsi="Calibri" w:eastAsia="Calibri"/>
          <w:b/>
          <w:i w:val="0"/>
          <w:color w:val="222222"/>
          <w:sz w:val="19"/>
        </w:rPr>
        <w:t>The Reality:</w:t>
      </w:r>
      <w:r>
        <w:rPr>
          <w:rFonts w:ascii="Calibri" w:hAnsi="Calibri" w:eastAsia="Calibri"/>
          <w:b w:val="0"/>
          <w:i w:val="0"/>
          <w:color w:val="222222"/>
          <w:sz w:val="19"/>
        </w:rPr>
        <w:t xml:space="preserve"> Contracting with Nucleus Software requires cross-border remittances to India. The National Board of Revenue (NBR) enforces a mandatory </w:t>
      </w:r>
      <w:r>
        <w:rPr>
          <w:rFonts w:ascii="Calibri" w:hAnsi="Calibri" w:eastAsia="Calibri"/>
          <w:b/>
          <w:i w:val="0"/>
          <w:color w:val="222222"/>
          <w:sz w:val="19"/>
        </w:rPr>
        <w:t>20% Advance Income Tax (AIT) withholding</w:t>
      </w:r>
      <w:r>
        <w:rPr>
          <w:rFonts w:ascii="Calibri" w:hAnsi="Calibri" w:eastAsia="Calibri"/>
          <w:b w:val="0"/>
          <w:i w:val="0"/>
          <w:color w:val="222222"/>
          <w:sz w:val="19"/>
        </w:rPr>
        <w:t xml:space="preserve"> on foreign software royalties, plus central bank approvals for outward foreign exchange remittances.</w:t>
      </w:r>
    </w:p>
    <w:p>
      <w:pPr>
        <w:pStyle w:val="ListBullet"/>
        <w:spacing w:after="40" w:line="276" w:lineRule="auto"/>
      </w:pPr>
      <w:r>
        <w:rPr>
          <w:rFonts w:ascii="Calibri" w:hAnsi="Calibri" w:eastAsia="Calibri"/>
          <w:b/>
          <w:i w:val="0"/>
          <w:color w:val="222222"/>
          <w:sz w:val="19"/>
        </w:rPr>
        <w:t>The Pitch:</w:t>
      </w:r>
      <w:r>
        <w:rPr>
          <w:rFonts w:ascii="Calibri" w:hAnsi="Calibri" w:eastAsia="Calibri"/>
          <w:b w:val="0"/>
          <w:i w:val="0"/>
          <w:color w:val="222222"/>
          <w:sz w:val="19"/>
        </w:rPr>
        <w:t xml:space="preserve"> </w:t>
      </w:r>
      <w:r>
        <w:rPr>
          <w:rFonts w:ascii="Calibri" w:hAnsi="Calibri" w:eastAsia="Calibri"/>
          <w:b w:val="0"/>
          <w:i/>
          <w:color w:val="222222"/>
          <w:sz w:val="19"/>
        </w:rPr>
        <w:t>"With FinnOne, your bank pays a 20% tax surcharge on every invoice and navigates central bank forex red tape. ULMS is 100% domestically billed in BDT by Unisoft Systems Limited (backed by Smart Technologies BD Ltd), with zero remittance delays and full NBR tax credits."</w:t>
      </w:r>
    </w:p>
    <w:p>
      <w:pPr>
        <w:pStyle w:val="Heading3"/>
        <w:keepNext/>
      </w:pPr>
      <w:r>
        <w:t>2. The Offshore Support Bottleneck:</w:t>
      </w:r>
    </w:p>
    <w:p>
      <w:pPr>
        <w:pStyle w:val="ListBullet"/>
        <w:spacing w:after="40" w:line="276" w:lineRule="auto"/>
      </w:pPr>
      <w:r>
        <w:rPr>
          <w:rFonts w:ascii="Calibri" w:hAnsi="Calibri" w:eastAsia="Calibri"/>
          <w:b/>
          <w:i w:val="0"/>
          <w:color w:val="222222"/>
          <w:sz w:val="19"/>
        </w:rPr>
        <w:t>The Reality:</w:t>
      </w:r>
      <w:r>
        <w:rPr>
          <w:rFonts w:ascii="Calibri" w:hAnsi="Calibri" w:eastAsia="Calibri"/>
          <w:b w:val="0"/>
          <w:i w:val="0"/>
          <w:color w:val="222222"/>
          <w:sz w:val="19"/>
        </w:rPr>
        <w:t xml:space="preserve"> Nucleus relies heavily on offshore development teams in Noida, India. When critical production issues arise or urgent custom patches are needed for Bangladesh Bank circulars, banks face visa delays, remote communication bottlenecks, and expensive fly-in consulting fees.</w:t>
      </w:r>
    </w:p>
    <w:p>
      <w:pPr>
        <w:pStyle w:val="ListBullet"/>
        <w:spacing w:after="40" w:line="276" w:lineRule="auto"/>
      </w:pPr>
      <w:r>
        <w:rPr>
          <w:rFonts w:ascii="Calibri" w:hAnsi="Calibri" w:eastAsia="Calibri"/>
          <w:b/>
          <w:i w:val="0"/>
          <w:color w:val="222222"/>
          <w:sz w:val="19"/>
        </w:rPr>
        <w:t>The Pitch:</w:t>
      </w:r>
      <w:r>
        <w:rPr>
          <w:rFonts w:ascii="Calibri" w:hAnsi="Calibri" w:eastAsia="Calibri"/>
          <w:b w:val="0"/>
          <w:i w:val="0"/>
          <w:color w:val="222222"/>
          <w:sz w:val="19"/>
        </w:rPr>
        <w:t xml:space="preserve"> </w:t>
      </w:r>
      <w:r>
        <w:rPr>
          <w:rFonts w:ascii="Calibri" w:hAnsi="Calibri" w:eastAsia="Calibri"/>
          <w:b w:val="0"/>
          <w:i/>
          <w:color w:val="222222"/>
          <w:sz w:val="19"/>
        </w:rPr>
        <w:t>"When an auditor from Bangladesh Bank is sitting in your boardroom demanding an explanation, Unisoft's senior software architects can be physically on-site in your Motijheel or Gulshan datacenter within 30 minutes (metro) / 2 hours (national)."</w:t>
      </w:r>
    </w:p>
    <w:p>
      <w:pPr>
        <w:pStyle w:val="Heading3"/>
        <w:keepNext/>
      </w:pPr>
      <w:r>
        <w:t>3. Costly Infrastructure Sizing (Oracle Lock-In):</w:t>
      </w:r>
    </w:p>
    <w:p>
      <w:pPr>
        <w:pStyle w:val="ListBullet"/>
        <w:spacing w:after="40" w:line="276" w:lineRule="auto"/>
      </w:pPr>
      <w:r>
        <w:rPr>
          <w:rFonts w:ascii="Calibri" w:hAnsi="Calibri" w:eastAsia="Calibri"/>
          <w:b/>
          <w:i w:val="0"/>
          <w:color w:val="222222"/>
          <w:sz w:val="19"/>
        </w:rPr>
        <w:t>The Reality:</w:t>
      </w:r>
      <w:r>
        <w:rPr>
          <w:rFonts w:ascii="Calibri" w:hAnsi="Calibri" w:eastAsia="Calibri"/>
          <w:b w:val="0"/>
          <w:i w:val="0"/>
          <w:color w:val="222222"/>
          <w:sz w:val="19"/>
        </w:rPr>
        <w:t xml:space="preserve"> FinnOne Neo requires expensive Oracle Database Enterprise Edition licenses and high-spec proprietary application servers, adding millions of Taka in mandatory third-party software overhead.</w:t>
      </w:r>
    </w:p>
    <w:p>
      <w:pPr>
        <w:pStyle w:val="ListBullet"/>
        <w:spacing w:after="40" w:line="276" w:lineRule="auto"/>
      </w:pPr>
      <w:r>
        <w:rPr>
          <w:rFonts w:ascii="Calibri" w:hAnsi="Calibri" w:eastAsia="Calibri"/>
          <w:b/>
          <w:i w:val="0"/>
          <w:color w:val="222222"/>
          <w:sz w:val="19"/>
        </w:rPr>
        <w:t>The Pitch:</w:t>
      </w:r>
      <w:r>
        <w:rPr>
          <w:rFonts w:ascii="Calibri" w:hAnsi="Calibri" w:eastAsia="Calibri"/>
          <w:b w:val="0"/>
          <w:i w:val="0"/>
          <w:color w:val="222222"/>
          <w:sz w:val="19"/>
        </w:rPr>
        <w:t xml:space="preserve"> </w:t>
      </w:r>
      <w:r>
        <w:rPr>
          <w:rFonts w:ascii="Calibri" w:hAnsi="Calibri" w:eastAsia="Calibri"/>
          <w:b w:val="0"/>
          <w:i/>
          <w:color w:val="222222"/>
          <w:sz w:val="19"/>
        </w:rPr>
        <w:t>"ULMS v2.0 runs on high-performance PostgreSQL 17, cutting your relational database licensing fees to zero while delivering sub-second response times on commodity server hardware."</w:t>
      </w:r>
    </w:p>
    <w:p>
      <w:pPr>
        <w:pStyle w:val="Heading2"/>
        <w:keepNext/>
      </w:pPr>
      <w:r>
        <w:t>4. Head-to-Head Feature Comparison Matrix</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2409"/>
        <w:gridCol w:w="2409"/>
        <w:gridCol w:w="2409"/>
        <w:gridCol w:w="2409"/>
      </w:tblGrid>
      <w:tr>
        <w:trPr>
          <w:tblHeader w:val="true"/>
          <w:cantSplit/>
        </w:trPr>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Functional Dimension</w:t>
            </w:r>
          </w:p>
        </w:tc>
        <w:tc>
          <w:tcPr>
            <w:tcW w:type="dxa" w:w="1814"/>
            <w:shd w:fill="1E2660"/>
            <w:tcMar>
              <w:top w:w="140" w:type="dxa"/>
              <w:bottom w:w="140" w:type="dxa"/>
              <w:left w:w="180" w:type="dxa"/>
              <w:right w:w="180" w:type="dxa"/>
            </w:tcMar>
          </w:tcPr>
          <w:p>
            <w:pPr>
              <w:spacing w:after="40"/>
            </w:pPr>
            <w:r>
              <w:rPr>
                <w:rFonts w:ascii="Calibri" w:hAnsi="Calibri" w:eastAsia="Calibri"/>
                <w:b/>
                <w:i w:val="0"/>
                <w:color w:val="FFFFFF"/>
                <w:sz w:val="18"/>
              </w:rPr>
              <w:t>FinnOne Neo</w:t>
            </w:r>
          </w:p>
        </w:tc>
        <w:tc>
          <w:tcPr>
            <w:tcW w:type="dxa" w:w="2438"/>
            <w:shd w:fill="1E2660"/>
            <w:tcMar>
              <w:top w:w="140" w:type="dxa"/>
              <w:bottom w:w="140" w:type="dxa"/>
              <w:left w:w="180" w:type="dxa"/>
              <w:right w:w="180" w:type="dxa"/>
            </w:tcMar>
          </w:tcPr>
          <w:p>
            <w:pPr>
              <w:spacing w:after="40"/>
            </w:pPr>
            <w:r>
              <w:rPr>
                <w:rFonts w:ascii="Calibri" w:hAnsi="Calibri" w:eastAsia="Calibri"/>
                <w:b/>
                <w:i w:val="0"/>
                <w:color w:val="FFFFFF"/>
                <w:sz w:val="18"/>
              </w:rPr>
              <w:t>Unisoft ULMS v2.0</w:t>
            </w:r>
          </w:p>
        </w:tc>
        <w:tc>
          <w:tcPr>
            <w:tcW w:type="dxa" w:w="3685"/>
            <w:shd w:fill="1E2660"/>
            <w:tcMar>
              <w:top w:w="140" w:type="dxa"/>
              <w:bottom w:w="140" w:type="dxa"/>
              <w:left w:w="180" w:type="dxa"/>
              <w:right w:w="180" w:type="dxa"/>
            </w:tcMar>
          </w:tcPr>
          <w:p>
            <w:pPr>
              <w:spacing w:after="40"/>
            </w:pPr>
            <w:r>
              <w:rPr>
                <w:rFonts w:ascii="Calibri" w:hAnsi="Calibri" w:eastAsia="Calibri"/>
                <w:b/>
                <w:i w:val="0"/>
                <w:color w:val="FFFFFF"/>
                <w:sz w:val="18"/>
              </w:rPr>
              <w:t>Win Evaluation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Contract Currency &amp; Tax</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USD ($1.5M+) + 20% WHT</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100% BDT (BDT 4.0 Cr) + NBR Tax Credit</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BRPD 15/2024 7-Stage Classification</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Custom Adaptation (Scripted)</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Native Deterministic Core Engine</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Bangladesh Bank CIB Online Gateway</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Custom Integration Layer</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Native Automated REST Parser</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Election Commission e-KYC Verification</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Third-Party Middleware</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Integrated Face Match &amp; NID OCR</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Database Licensing Cost</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Requires Oracle DB ($150k+ extra)</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Zero Cost: PostgreSQL 17</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On-Site SLA in Dhaka</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Remote or 48-72h Flight Notice</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Guaranteed 30-Minute Metro / 2-Hour National On-Site</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Implementation Timeline</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9 to 14 Months</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12 Weeks Turnkey Pilot</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bl>
    <w:p>
      <w:pPr>
        <w:spacing w:after="80"/>
      </w:pPr>
    </w:p>
    <w:p>
      <w:pPr>
        <w:pStyle w:val="Heading2"/>
        <w:keepNext/>
      </w:pPr>
      <w:r>
        <w:t>5. Trap-Setting RFP Questions to Disqualify FinnOne Neo</w:t>
      </w:r>
    </w:p>
    <w:p>
      <w:pPr>
        <w:pStyle w:val="ListNumber"/>
        <w:spacing w:after="40" w:line="276" w:lineRule="auto"/>
      </w:pPr>
      <w:r>
        <w:rPr>
          <w:rFonts w:ascii="Calibri" w:hAnsi="Calibri" w:eastAsia="Calibri"/>
          <w:b/>
          <w:i w:val="0"/>
          <w:color w:val="222222"/>
          <w:sz w:val="19"/>
        </w:rPr>
        <w:t>For the Procurement &amp; Finance Committee: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"Is the bidding vendor an incorporated legal entity in Bangladesh capable of issuing VAT invoices directly under NBR SRO regulations, or does the contract require cross-border outward foreign exchange remittance subject to withholding tax?"</w:t>
      </w:r>
    </w:p>
    <w:p>
      <w:pPr>
        <w:pStyle w:val="ListNumber"/>
        <w:spacing w:after="40" w:line="276" w:lineRule="auto"/>
      </w:pPr>
      <w:r>
        <w:rPr>
          <w:rFonts w:ascii="Calibri" w:hAnsi="Calibri" w:eastAsia="Calibri"/>
          <w:b/>
          <w:i w:val="0"/>
          <w:color w:val="222222"/>
          <w:sz w:val="19"/>
        </w:rPr>
        <w:t>For the ICT Architecture Committee: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"Does the proposed solution mandate proprietary commercial RDBMS licenses (such as Oracle Enterprise Edition) with core-based pricing, or can it operate natively on enterprise open-source PostgreSQL 17?"</w:t>
      </w:r>
    </w:p>
    <w:p>
      <w:pPr>
        <w:pStyle w:val="ListNumber"/>
        <w:spacing w:after="40" w:line="276" w:lineRule="auto"/>
      </w:pPr>
      <w:r>
        <w:rPr>
          <w:rFonts w:ascii="Calibri" w:hAnsi="Calibri" w:eastAsia="Calibri"/>
          <w:b/>
          <w:i w:val="0"/>
          <w:color w:val="222222"/>
          <w:sz w:val="19"/>
        </w:rPr>
        <w:t>For the Operations &amp; Recovery Committee: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"Does the field collection module feature native offline caching with automatic GPS geotagging and SMS dispatch over local telecom aggregators (Grameenphone, Robi, Banglalink) without third-party global SMS gateway costs?"</w:t>
      </w:r>
    </w:p>
    <w:p>
      <w:pPr>
        <w:spacing w:after="80" w:line="276" w:lineRule="auto"/>
      </w:pPr>
      <w:r>
        <w:rPr>
          <w:rFonts w:ascii="Calibri" w:hAnsi="Calibri" w:eastAsia="Calibri"/>
          <w:b w:val="0"/>
          <w:i/>
          <w:color w:val="222222"/>
          <w:sz w:val="19"/>
        </w:rPr>
        <w:t>Unisoft Systems Limited — Competitive Intelligence &amp; Banking Sales Operations.</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Unisoft Loan Management System (ULMS v2.0) — Competitive Battlecard - ULMS v2.0 vs. Nucleu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Competitive Battlecard - ULMS v2.0 vs. Nucleus Software FinnOne Neo</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