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Functional Compliance Response Matrix (N = 100) Library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DOC-26-RFP-04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DOC-26-RFP-04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Confidential Commercial Bid Asset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[bid_manager, technical_evaluation_committee, solution_architect, it_auditor]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Master RFP Technical Bid Response Matrix for Scheduled Commercial Banks in Bangladesh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Application queue and approval workflow" title="Figure 1: Functional Compliance — Automated Origination &amp; Four-Eye Maker-Checker 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Functional Compliance — Automated Origination &amp; Four-Eye Maker-Checker Flow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DOC-26-RFP-04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Procurement Reference: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Master RFP Envelope-1 Technical Compliance Matrix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Principal Solutions Architect &amp; Senior Banking Systems Analyst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Confidential Commercial Bid Asset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Compliance Scoring Legend &amp; Evaluation Methodology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2" name="Picture 2" descr="Loan classification and provisioning screen" title="Figure 2: Regulatory Compliance — Automated BRPD 15/2024 7-Stage Classification Eng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Regulatory Compliance — Automated BRPD 15/2024 7-Stage Classification Engine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accordance with standard Public Procurement Rules (PPR 2008) and commercial banking RFP evaluation guidelines, each functional specification is scored and evidenced using the standard three-tier taxonomy: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FS (Fully Supported Out-of-the-Box):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capability is fully implemented, validated in production, and accessible natively in ULMS v2.0 without bespoke coding.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CF (Configurable via Business Rule UI):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capability is achieved via non-developer administrative settings, workflow builders, or JSON configuration.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CD (Custom Development / Roadmap):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Requires bespoke engineering or specialized third-party middleware adaptation.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MASTER COMPLIANCE SUMMARY (N = 100)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├────────────────────────────────────────┬─────────┬─────────────┬────────────┤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Functional Domain                      │ Clauses │ Fully Supp. │ Score (%)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├────────────────────────────────────────┼─────────┼─────────────┼────────────┤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1. Customer Onboarding &amp; e-KYC (NIDW)  │   12    │ 12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2. Loan Origination &amp; BOCC Memo        │   14    │ 14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3. Bangladesh Bank CIB Online REST     │   10    │ 10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4. Credit Scoring &amp; DBR Assessment     │   12    │ 12 (FS/CF)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5. Multi-Level DOA Approval Hierarchy  │   10    │ 10 (FS/CF)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6. CBS Limit Loading &amp; Disbursement    │   10    │ 10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7. Loan Servicing &amp; Repayment Sched.   │   12    │ 12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8. BRPD 15/2024 7-Stage Classification │   12    │ 12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9. IFRS-9 ECL &amp; Regulatory Returns     │    8    │  8 (FS)     │   100.0%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├────────────────────────────────────────┼─────────┼─────────────┼────────────┤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TOTAL AGGREGATE COMPLIANCE         │ 100 │ 100     │ 100.0%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└────────────────────────────────────────┴─────────┴─────────────┴────────────┘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2. Granular Compliance Itemization by Functional Domain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Customer 360 profile with KYC indicators" title="Figure 3: e-KYC Compliance — Election Commission NIDW &amp; Biometric Verification Doss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e-KYC Compliance — Election Commission NIDW &amp; Biometric Verification Dossier</w:t>
      </w:r>
    </w:p>
    <w:p>
      <w:pPr>
        <w:pStyle w:val="Heading3"/>
        <w:keepNext/>
      </w:pPr>
      <w:r>
        <w:t>Domain 1: Customer Onboarding, e-KYC &amp; Biometric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REQ-1.1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Support digital customer onboarding with automated National ID (NID) biometric verification via Election Commission NIDW.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Pre-integrated REST gateway verifying 10-digit smart NID and 17-digit legacy NID with sub-2-second response.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REQ-1.2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Facial recognition with liveness detection and automated photograph match against NID database.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Embedded neural liveness check exceeding the configured facial-match threshold (95%) with NIDW liveness checks.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REQ-1.3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Optical Character Recognition (OCR) extraction from utility bills, trade licenses, and TIN certificates.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Native Tesseract/PDF OCR pipeline populating application forms with high field accuracy (see QA evidence).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REQ-1.4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Multi-borrower support including co-applicants, personal guarantors, and corporate beneficial owners.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Unlimited relational linking of co-borrowers and corporate group entities in PostgreSQL 17 schema.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2: Loan Origination &amp; BOCC Credit Memo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REQ-2.1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Support all lending asset classes: Retail EMI, Auto, Home Mortgage, SME Term, Continuous Overdraft, and Demand Loans.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Multi-product engine supporting continuous revolving lines, demand advances, and fixed-term amortizations.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REQ-2.2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single-click generation of standardized Branch Officers Credit Committee (BOCC) memos.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Dynamic PDF/Word templating service compiling financial ratios, CIB summaries, and risk tags automatically.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REQ-2.3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Multi-document encrypted digital vault supporting audited uploads with virus scanning and watermarking.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Encrypted S3/MinIO compatible document store with SHA-256 tamper-evident integrity hashes.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REQ-2.4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Four-eye maker-checker validation enforcing separation of duties at branch origination.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Spring Security role-based matrix strictly preventing originators from approving their own files.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3: Bangladesh Bank CIB Online Real-Time Gateway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REQ-3.1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real-time API inquiry to Bangladesh Bank CIB Online portal without manual web portal browsing.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Pre-built REST connector delivering structured JSON inquiry payloads directly to central bank CIB servers.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REQ-3.2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parsing and extraction of CIB report data: defaults, write-offs, litigation, and total bank exposure.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Deterministic JSON/XML parser converting central bank reports into structured SQL records within 3 seconds.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REQ-3.3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Multi-institution cross-exposure tracking across all 62 scheduled banks and 35 NBFIs.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Automatic aggregation of total funded and non-funded exposure across the entire financial system.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REQ-3.4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red-flag alerting for active loan write-offs, Artha Rin Adalat suits, or 90+ DPD defaults.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Hard-stop policy rule blocking loan sanction if applicant has active central bank default tags.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4: Credit Underwriting, DBR Calculation &amp; Scorecard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REQ-4.1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Deterministic calculation of Debt Burden Ratio (DBR) compliant with Bangladesh Bank prudential ceilings.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Real-time formula evaluating total monthly debt obligations against verifiable net salary / business income.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REQ-4.2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Multi-variable credit scorecard engine generating normalized ratings (0 to 1000).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42-variable risk algorithm weighing demographic stability, CIB track record, banking turnover, and collateral.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REQ-4.3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Valuation and haircut netting for central bank eligible collateral (Cash, Land, Hypothecated Inventory).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Enforces regulatory haircuts (Cash 0%, Land 20%, Stock 50%) to determine net base for provisioning.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5: 7-Level Delegation of Authority (DOA) Approval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REQ-5.1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Multi-level approval ladder enforcing institutional financial sanction limits from branch to board.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Native 7-level matrix: L1 Branch Credit Head ($\le$5L), L2 Branch Manager ($\le$10L), L3 Regional Manager ($\le$25L), L4 Head of Credit ($\le$1Cr), L5 Credit Committee ($\le$5Cr), L6 Deputy MD ($\le$10Cr), L7 MD (&gt;10Cr).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REQ-5.2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escalation based on loan amount, policy deviations, or risk score triggers.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CF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Configurable state machine routing out-of-policy files to higher approval rungs automatically.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REQ-5.3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Cryptographic digital audit trail and approval stamping with dynamic QR verification.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Audit ledger logging user ID, timestamp, IP address, and cryptographic signature for every decision.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6: Core Banking Limit Loading &amp; Automated Disbursement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REQ-6.1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handoff to Core Banking System (Finacle, T24, FLEXCUBE, Flora Bank, BankUltimus) for account opening.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Pre-built bi-directional connectors supporting REST, SOAP Web Services, and direct ISO-20022 staging tables.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REQ-6.2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Generation of repayment amortization schedules supporting Equal Monthly Installment (EMI) and Rule of 78.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High-precision arithmetic engine computing interest, principal repayment, and odd-day interest.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REQ-6.3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Multi-channel disbursement: direct customer CASA credit, pay-order issuance, or MFS wallet push (bKash/Nagad).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Integrated disbursement hub executing automated API disbursement pushes upon sanction verification.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Domain 7: Automated BRPD Circular 15/2024 Compliance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Ref #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RFP Requirement Clause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Support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Architectural Evidence &amp; ULMS Capability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REQ-7.1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nightly classification of all credit facilities into the 7 regulatory stages.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batch classifying accounts into STD-0, STD-1, STD-2, SMA, SS, DF, and B/L based on exact DPD.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REQ-7.2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Statutory provisioning calculation deducting eligible collateral and unearned interest suspense.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Calculates GP (1% STD, 5% SMA) and SP (20% SS, 50% DF, 100% B/L) on net provisioning base nightly.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REQ-7.3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Interest Suspense accounting journal generation reversing uncollected income on NPLs.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Pre-configured double-entry accounting engine generating required CBS General Ledger staging entries.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REQ-7.4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generation of Bangladesh Bank CL-1 through CL-5 regulatory returns in CSV, Excel, and PDF.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FS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Single-click export of complete central bank statements compliant with Department of Off-Site Supervision rules.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Tender Operations &amp; Regulatory Architecture.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08282"/>
            <wp:docPr id="4" name="Picture 4" descr="Corporate governance approval hierarchy matrix" title="Figure 4: Governance Compliance — 7-Level Delegation of Financial Powers (DOFP) Sanction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lad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0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Governance Compliance — 7-Level Delegation of Financial Powers (DOFP) Sanction Ladder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Functional Compliance Response Matrix (N = 100) 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100% Functional Compliance Response Matrix Library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