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Commercial Pricing Model &amp; Licensing Matrix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DOC-31-COM-01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DOC-31-COM-01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Confidential Commercial Strategy Asset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[cfo, sales_director, account_executive, bid_manager, head_of_procurement]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Turnkey Enterprise Perpetual Licensing, Implementation Tiers &amp; Volume Sliding Scale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1436248"/>
            <wp:docPr id="1" name="Picture 1" descr="Capital budgeting summary graphic" title="Figure 1: Commercial Justification — Investment Payback Horizon &amp; ROI Proje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_kp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3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Commercial Justification — Investment Payback Horizon &amp; ROI Projections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DOC-31-COM-01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Author: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Chief Commercial Officer &amp; Head of Bid Management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Confidential Commercial Asset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p>
      <w:pPr>
        <w:pStyle w:val="Heading2"/>
        <w:keepNext/>
      </w:pPr>
      <w:r>
        <w:t>1. Commercial Architecture &amp; Value Principles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2" name="Picture 2" descr="Branch asset management dashboard" title="Figure 2: Enterprise Value — Branch Portfolio Monitoring &amp; Asset Optimiz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Enterprise Value — Branch Portfolio Monitoring &amp; Asset Optimization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Unisoft’s pricing architecture for </w:t>
      </w:r>
      <w:r>
        <w:rPr>
          <w:rFonts w:ascii="Calibri" w:hAnsi="Calibri" w:eastAsia="Calibri"/>
          <w:b/>
          <w:i w:val="0"/>
          <w:color w:val="222222"/>
          <w:sz w:val="19"/>
        </w:rPr>
        <w:t>ULMS v2.0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eliminates the hidden consulting traps, offshore per-diem fees, and foreign exchange volatility typical of global legacy packages.</w:t>
      </w:r>
    </w:p>
    <w:p>
      <w:pPr>
        <w:pStyle w:val="Heading3"/>
        <w:keepNext/>
      </w:pPr>
      <w:r>
        <w:t>Four Binding Commercial Pillars: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100% Domestic Bangladeshi Taka (BDT) Invoicing: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Zero US Dollar exposure, zero central bank outward remittance delays, and 100% eligible NBR VAT input tax credits via UniVAT™.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Transparent Perpetual Enterprise Licensing: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Bank owns an irrevocable perpetual license to operate the platform across all sovereign datacenters without per-seat employee surcharges.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Turnkey Fixed-Price Implementation: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Pre-defined milestone delivery guaranteeing no scope-creep change orders for agreed requirements.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Capped Annual Maintenance Contract (AMC):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Year 1 warranty is included free (0%); Years 2 through 5 are fixed at exactly </w:t>
      </w:r>
      <w:r>
        <w:rPr>
          <w:rFonts w:ascii="Calibri" w:hAnsi="Calibri" w:eastAsia="Calibri"/>
          <w:b/>
          <w:i w:val="0"/>
          <w:color w:val="222222"/>
          <w:sz w:val="19"/>
        </w:rPr>
        <w:t>20% of the initial software license fee</w:t>
      </w:r>
      <w:r>
        <w:rPr>
          <w:rFonts w:ascii="Calibri" w:hAnsi="Calibri" w:eastAsia="Calibri"/>
          <w:b w:val="0"/>
          <w:i w:val="0"/>
          <w:color w:val="222222"/>
          <w:sz w:val="19"/>
        </w:rPr>
        <w:t>.</w:t>
      </w:r>
    </w:p>
    <w:p>
      <w:pPr>
        <w:pStyle w:val="Heading2"/>
        <w:keepNext/>
      </w:pPr>
      <w:r>
        <w:t>2. Enterprise Tier Pricing Matrix (Turnkey Deployments)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3" name="Picture 3" descr="Borrower repayment gateway screen" title="Figure 3: Transaction Velocity — Automated Collection Rails via Real-Time MFS Integ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borrower_p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Transaction Velocity — Automated Collection Rails via Real-Time MFS Integration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   ULMS v2.0 COMMERCIAL TIER MATRIX   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├───────────────────────────────┬──────────────┬──────────────┬───────────────┤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Commercial Dimension          │ TIER 1:      │ TIER 2:      │ TIER 3: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           │ Scheduled    │ Islamic      │ Specialized /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           │ PCB (Conv.)  │ Banking (Full│ NBFI / Digital│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├───────────────────────────────┼──────────────┼──────────────┼───────────────┤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Portfolio Capacity        │ ৳10,000 Cr+  │ ৳10,000 Cr+  │ Up to ৳2,000Cr│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Branch / Outlet License   │ Up to 150 Br.│ Up to 150 Br.│ Up to 40 Br.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Staff User Seats          │ Unlimited    │ Unlimited    │ Up to 250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├───────────────────────────────┼──────────────┼──────────────┼───────────────┤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1. Software License Fee   │ ৳ 2,50,00,000│ ৳ 2,75,00,000│ ৳ 1,60,00,000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2. Implementation &amp; CBS   │ ৳ 1,20,00,000│ ৳ 1,30,00,000│ ৳   80,00,000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3. Training &amp; UAT Support │ ৳   30,00,000│ ৳   35,00,000│ ৳   20,00,000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4. Year 1 Warranty        │ Included (৳0)│ Included (৳0)│ Included (৳0)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├───────────────────────────────┼──────────────┼──────────────┼───────────────┤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TOTAL INITIAL INVESTMENT  │৳4,00,00,000│৳4,40,00,000│৳2,60,00,000│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├───────────────────────────────┼──────────────┼──────────────┼───────────────┤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Annual AMC (Years 2-5)    │ ৳ 50,00,000/y│ ৳ 55,00,000/y│ ৳ 32,00,000/y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└───────────────────────────────┴──────────────┴──────────────┴───────────────┘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*(All prices in Bangladeshi Taka (BDT) excluding statutory 15% NBR VAT)*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3. Modular Perpetual License Component Breakdown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banks procuring modular capabilities or specialized subsystem add-ons: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Module Identifier</w:t>
            </w:r>
          </w:p>
        </w:tc>
        <w:tc>
          <w:tcPr>
            <w:tcW w:type="dxa" w:w="311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Functional Capability</w:t>
            </w:r>
          </w:p>
        </w:tc>
        <w:tc>
          <w:tcPr>
            <w:tcW w:type="dxa" w:w="453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Perpetual License Price (BDT)</w:t>
            </w:r>
          </w:p>
        </w:tc>
      </w:tr>
      <w:tr>
        <w:trPr>
          <w:cantSplit/>
        </w:trPr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MOD-01</w:t>
            </w:r>
          </w:p>
        </w:tc>
        <w:tc>
          <w:tcPr>
            <w:tcW w:type="dxa" w:w="311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ULMS Core Lending Engine: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Retail, SME, BOCC Memo Generator, Document Vault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80,00,000</w:t>
            </w:r>
          </w:p>
        </w:tc>
      </w:tr>
      <w:tr>
        <w:trPr>
          <w:cantSplit/>
        </w:trPr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MOD-02</w:t>
            </w:r>
          </w:p>
        </w:tc>
        <w:tc>
          <w:tcPr>
            <w:tcW w:type="dxa" w:w="311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7-Level Delegation of Authority (DOA) Approval Hierarchy: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Multi-level state engine</w:t>
            </w:r>
          </w:p>
        </w:tc>
        <w:tc>
          <w:tcPr>
            <w:tcW w:type="dxa" w:w="453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30,000</w:t>
            </w:r>
          </w:p>
        </w:tc>
      </w:tr>
      <w:tr>
        <w:trPr>
          <w:cantSplit/>
        </w:trPr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MOD-03</w:t>
            </w:r>
          </w:p>
        </w:tc>
        <w:tc>
          <w:tcPr>
            <w:tcW w:type="dxa" w:w="311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Core Banking Disbursement &amp; Servicing Hub: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EMI calculator, limit loading, GL staging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40,00,000</w:t>
            </w:r>
          </w:p>
        </w:tc>
      </w:tr>
      <w:tr>
        <w:trPr>
          <w:cantSplit/>
        </w:trPr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MOD-04</w:t>
            </w:r>
          </w:p>
        </w:tc>
        <w:tc>
          <w:tcPr>
            <w:tcW w:type="dxa" w:w="311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BRPD 15/2024 &amp; IFRS-9 ECL Engine: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Automated 7-stage classifier &amp; CL-1..5 exporter</w:t>
            </w:r>
          </w:p>
        </w:tc>
        <w:tc>
          <w:tcPr>
            <w:tcW w:type="dxa" w:w="453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45,00,000</w:t>
            </w:r>
          </w:p>
        </w:tc>
      </w:tr>
      <w:tr>
        <w:trPr>
          <w:cantSplit/>
        </w:trPr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MOD-05</w:t>
            </w:r>
          </w:p>
        </w:tc>
        <w:tc>
          <w:tcPr>
            <w:tcW w:type="dxa" w:w="311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Real-Time CIB Online REST Gateway: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Automated parser &amp; multi-facility deduplication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15,00,000</w:t>
            </w:r>
          </w:p>
        </w:tc>
      </w:tr>
      <w:tr>
        <w:trPr>
          <w:cantSplit/>
        </w:trPr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MOD-06</w:t>
            </w:r>
          </w:p>
        </w:tc>
        <w:tc>
          <w:tcPr>
            <w:tcW w:type="dxa" w:w="311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Election Commission NIDW / e-KYC Module: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Facial liveness &amp; biometric OCR</w:t>
            </w:r>
          </w:p>
        </w:tc>
        <w:tc>
          <w:tcPr>
            <w:tcW w:type="dxa" w:w="453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15,00,000</w:t>
            </w:r>
          </w:p>
        </w:tc>
      </w:tr>
      <w:tr>
        <w:trPr>
          <w:cantSplit/>
        </w:trPr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MOD-07</w:t>
            </w:r>
          </w:p>
        </w:tc>
        <w:tc>
          <w:tcPr>
            <w:tcW w:type="dxa" w:w="311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Islamic Shariah Multi-Asset Engine: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Murabaha, Ijara, Bai-Muajjal accounting rules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15,00,000</w:t>
            </w:r>
          </w:p>
        </w:tc>
      </w:tr>
      <w:tr>
        <w:trPr>
          <w:cantSplit/>
        </w:trPr>
        <w:tc>
          <w:tcPr>
            <w:tcW w:type="dxa" w:w="198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>MOD-08</w:t>
            </w:r>
          </w:p>
        </w:tc>
        <w:tc>
          <w:tcPr>
            <w:tcW w:type="dxa" w:w="311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Field Officer Mobility App (Expo 54+):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 xml:space="preserve"> Offline GPS collection, receipts &amp; sync</w:t>
            </w:r>
          </w:p>
        </w:tc>
        <w:tc>
          <w:tcPr>
            <w:tcW w:type="dxa" w:w="453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20,00,000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4. Implementation Services Milestone Billing Schedule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To ensure zero delivery risk for bank leadership, implementation fees (BDT 1,20,00,000 for Tier-1) are strictly tied to verifiable technical milestones: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9638"/>
      </w:tblGrid>
      <w:tr>
        <w:tc>
          <w:tcPr>
            <w:tcW w:type="dxa" w:w="9638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                    MILESTONE-BASED DISBURSEMENT SCHEDULE              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├─────────┬───────────────────────────────────────────┬──────────┬────────────┤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Milestone│ Verifiable Deliverable Acceptance         │ Timeline │ Billing %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├─────────┼───────────────────────────────────────────┼──────────┼────────────┤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M-01│ Contract Execution &amp; Initiation Sign-off  │ Week 1   │    20%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M-02│ System Architecture &amp; CBS Gap Sign-off    │ Week 3   │    20%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M-03│ Sandbox Deployment &amp; CBS Connector Live   │ Week 7   │    25%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M-04│ User Acceptance Testing (UAT) Sign-off    │ Week 10  │    20%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M-05│ Production Go-Live &amp; Pilot Sign-off       │ Week 12  │    15%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├─────────┼───────────────────────────────────────────┼──────────┼────────────┤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│ TOTAL│ Complete Turnkey Operationalization       │ 12 Weeks │   100%     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b w:val="0"/>
                <w:i w:val="0"/>
                <w:color w:val="222222"/>
                <w:sz w:val="17"/>
              </w:rPr>
              <w:t>└─────────┴───────────────────────────────────────────┴──────────┴────────────┘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5. Professional Services Rate Card (Change Orders &amp; Custom Modules)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bespoke software customizations beyond the baseline Statement of Work (SOW):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Engineering Role / Level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Daily Rate (BDT)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Monthly Rate (BDT)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Minimum Commitment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Principal Banking Solutions Architect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45,000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8,50,000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 Days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Senior Spring Boot / Fineract Engineer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32,000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6,00,000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10 Days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Senior React 19 Frontend Engineer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28,000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5,20,000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10 Days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Senior Database &amp; PostgreSQL DBA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30,000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5,50,000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 Days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Quality Assurance &amp; Automation Engineer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20,000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৳ 3,80,000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10 Days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Commercial Operations &amp; Enterprise Pricing Directorate.</w:t>
      </w:r>
    </w:p>
    <w:p>
      <w:r>
        <w:rPr>
          <w:b/>
        </w:rPr>
        <w:t>Addendum — v3.1.0 corrections (Independent Forensic Re-audit, 8 October 2026)</w:t>
      </w:r>
    </w:p>
    <w:p>
      <w:r>
        <w:t>Rate corrections: Senior PostgreSQL DBA daily rate ৳30,000 (the printed ৳30,00,000 was a 1,000× typo); Islamic Shariah Multi-Asset Engine aligned to DOC-24 Schedule A.7 at ৳15,00,000 (was inconsistently ৳25,00,000).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Commercial Pricing Model &amp; Licensing Matrix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Commercial Pricing Model &amp; Licensing Matrix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