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3366"/>
            <w:tcMar>
              <w:top w:w="260" w:type="dxa"/>
              <w:bottom w:w="260" w:type="dxa"/>
              <w:left w:w="300" w:type="dxa"/>
              <w:right w:w="300" w:type="dxa"/>
            </w:tcMar>
            <w:tcBorders>
              <w:top w:val="single" w:sz="6" w:space="0" w:color="003366"/>
              <w:left w:val="single" w:sz="24" w:space="0" w:color="D4AF37"/>
              <w:bottom w:val="single" w:sz="18" w:space="0" w:color="D4AF37"/>
              <w:right w:val="single" w:sz="6" w:space="0" w:color="003366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D4AF37"/>
                <w:sz w:val="19"/>
              </w:rPr>
              <w:t>UNISOFT LOAN MANAGEMENT SYSTEM (ULMS v2.0) · 01 ARCHITECTURE</w:t>
              <w:br/>
            </w:r>
            <w:r>
              <w:rPr>
                <w:rFonts w:ascii="Segoe UI" w:hAnsi="Segoe UI"/>
                <w:b/>
                <w:color w:val="FFFFFF"/>
                <w:sz w:val="34"/>
              </w:rPr>
              <w:t>DOC-01-ARCH-03: National Payment Rails, Bangladesh Bank RTGS, BEFTN &amp; NPSB Integration Architecture</w:t>
              <w:br/>
            </w:r>
            <w:r>
              <w:rPr>
                <w:rFonts w:ascii="Segoe UI" w:hAnsi="Segoe UI"/>
                <w:i/>
                <w:color w:val="CBD5E0"/>
                <w:sz w:val="17"/>
              </w:rPr>
              <w:t>Document ID: DOC-01-ARCH-03  ·  Standard: Diátaxis / C4 Model  ·  Bangladesh Bank Compliant</w:t>
            </w:r>
          </w:p>
        </w:tc>
      </w:tr>
    </w:tbl>
    <w:p>
      <w:pPr>
        <w:spacing w:before="80" w:after="80"/>
      </w:pP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type: explanation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topic: payment_rails_clearing_integration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target_audience: [architect, developer, integration_specialist, core_banking_team]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version: 2026.10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document_id: DOC-01-ARCH-03</w:t>
      </w:r>
    </w:p>
    <w:p>
      <w:pPr>
        <w:keepNext/>
        <w:spacing w:before="280" w:after="80"/>
      </w:pPr>
      <w:r>
        <w:rPr>
          <w:rFonts w:ascii="Segoe UI" w:hAnsi="Segoe UI"/>
          <w:b/>
          <w:color w:val="003366"/>
          <w:sz w:val="29"/>
        </w:rPr>
        <w:t>DOC-01-ARCH-03: National Payment Rails, Bangladesh Bank RTGS, BEFTN &amp; NPSB Integration Architecture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1 below, Real-time clearing and installment collection through tokenized bKash and Nagad rails.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18897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3_borrower_pa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1889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1: Production Digital Repayment &amp; National MFS Payment Rail Flow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Real-time clearing and installment collection through tokenized bKash and Nagad rails.</w:t>
      </w: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Title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National Payment Rails &amp; Clearing Integration Architecture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Project Name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Unisoft Loan Management System (ULMS v2.0)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Version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Date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2026-10-07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Classification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Enterprise Technical Specification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Status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 Master Specification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Authority Chain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Compliance_Validation_Matrix.md</w:t>
            </w:r>
            <w:r>
              <w:rPr>
                <w:rFonts w:ascii="Segoe UI" w:hAnsi="Segoe UI"/>
                <w:color w:val="2D3748"/>
                <w:sz w:val="17"/>
              </w:rPr>
              <w:t xml:space="preserve"> → </w:t>
            </w:r>
            <w:r>
              <w:rPr>
                <w:rFonts w:ascii="Consolas" w:hAnsi="Consolas"/>
                <w:color w:val="801515"/>
                <w:sz w:val="16"/>
              </w:rPr>
              <w:t>Software_Requirements_Specification.md</w:t>
            </w:r>
            <w:r>
              <w:rPr>
                <w:rFonts w:ascii="Segoe UI" w:hAnsi="Segoe UI"/>
                <w:color w:val="2D3748"/>
                <w:sz w:val="17"/>
              </w:rPr>
              <w:t xml:space="preserve"> → </w:t>
            </w:r>
            <w:r>
              <w:rPr>
                <w:rFonts w:ascii="Consolas" w:hAnsi="Consolas"/>
                <w:color w:val="801515"/>
                <w:sz w:val="16"/>
              </w:rPr>
              <w:t>LMS_CODEBASE/PLANNING/11_External_Integrations_Plan.md</w:t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Segoe UI" w:hAnsi="Segoe UI"/>
          <w:b/>
          <w:color w:val="1A365D"/>
          <w:sz w:val="22"/>
        </w:rPr>
        <w:t>Document Revision History &amp; Institutional 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985"/>
            <w:tcW w:w="985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379"/>
            <w:tcW w:w="1379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Release Date</w:t>
            </w:r>
          </w:p>
        </w:tc>
        <w:tc>
          <w:tcPr>
            <w:tcW w:type="dxa" w:w="1971"/>
            <w:tcW w:w="1971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Author / Role</w:t>
            </w:r>
          </w:p>
        </w:tc>
        <w:tc>
          <w:tcPr>
            <w:tcW w:type="dxa" w:w="3547"/>
            <w:tcW w:w="3547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of Technical Changes</w:t>
            </w:r>
          </w:p>
        </w:tc>
        <w:tc>
          <w:tcPr>
            <w:tcW w:type="dxa" w:w="1478"/>
            <w:tcW w:w="1478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January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Documentation Core Team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Initial BRD &amp; Architecture Specification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2.0.0</w:t>
            </w:r>
          </w:p>
        </w:tc>
        <w:tc>
          <w:tcPr>
            <w:tcW w:type="dxa" w:w="1379"/>
            <w:tcW w:w="1379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February 2026</w:t>
            </w:r>
          </w:p>
        </w:tc>
        <w:tc>
          <w:tcPr>
            <w:tcW w:type="dxa" w:w="1971"/>
            <w:tcW w:w="1971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Systems Architect</w:t>
            </w:r>
          </w:p>
        </w:tc>
        <w:tc>
          <w:tcPr>
            <w:tcW w:type="dxa" w:w="3547"/>
            <w:tcW w:w="3547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Apache Fineract &amp; Spring Boot Monolith Alignment</w:t>
            </w:r>
          </w:p>
        </w:tc>
        <w:tc>
          <w:tcPr>
            <w:tcW w:type="dxa" w:w="1478"/>
            <w:tcW w:w="1478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October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Auditor &amp; SRE Lead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Production Build Parity &amp; Zero-Trust Audit Release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Master Approved</w:t>
            </w:r>
          </w:p>
        </w:tc>
      </w:tr>
      <w:tr>
        <w:tc>
          <w:tcPr>
            <w:tcW w:type="dxa" w:w="1872"/>
          </w:tcPr>
          <w:p>
            <w:r>
              <w:t>3.1.0</w:t>
            </w:r>
          </w:p>
        </w:tc>
        <w:tc>
          <w:tcPr>
            <w:tcW w:type="dxa" w:w="1872"/>
          </w:tcPr>
          <w:p>
            <w:r>
              <w:t>October 2026</w:t>
            </w:r>
          </w:p>
        </w:tc>
        <w:tc>
          <w:tcPr>
            <w:tcW w:type="dxa" w:w="1872"/>
          </w:tcPr>
          <w:p>
            <w:r>
              <w:t>Independent Forensic Re-audit</w:t>
            </w:r>
          </w:p>
        </w:tc>
        <w:tc>
          <w:tcPr>
            <w:tcW w:type="dxa" w:w="1872"/>
          </w:tcPr>
          <w:p>
            <w:r>
              <w:t>Factual corrections per audit/docx_forensic_audit_2026-10-08.md</w:t>
            </w:r>
          </w:p>
        </w:tc>
        <w:tc>
          <w:tcPr>
            <w:tcW w:type="dxa" w:w="1872"/>
          </w:tcPr>
          <w:p>
            <w:r>
              <w:t>Applied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Segoe UI" w:hAnsi="Segoe UI"/>
          <w:b/>
          <w:color w:val="003366"/>
          <w:sz w:val="28"/>
        </w:rP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003366"/>
              <w:left w:val="single" w:sz="2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003366"/>
                <w:sz w:val="19"/>
              </w:rPr>
              <w:t xml:space="preserve">[NOTE]  </w:t>
            </w:r>
            <w:r>
              <w:rPr>
                <w:rFonts w:ascii="Segoe UI" w:hAnsi="Segoe UI"/>
                <w:color w:val="2D3748"/>
                <w:sz w:val="19"/>
              </w:rPr>
              <w:t>This document contains an automated Microsoft Word field. In Microsoft Word or LibreOffice, right-click this table and select 'Update Field' (or press F9) to refresh section page numbers.</w:t>
            </w:r>
          </w:p>
        </w:tc>
      </w:tr>
    </w:tbl>
    <w:p>
      <w:pPr>
        <w:spacing w:before="40" w:after="80"/>
      </w:pPr>
    </w:p>
    <w:p>
      <w:pPr>
        <w:spacing w:before="120" w:after="240"/>
      </w:pPr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1. Executive Summary &amp; Regulatory Context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In Bangladesh commercial banking, loan disbursement and installment collection traverse national clearing and settlement rails regulated by </w:t>
      </w:r>
      <w:r>
        <w:rPr>
          <w:rFonts w:ascii="Segoe UI" w:hAnsi="Segoe UI"/>
          <w:b/>
          <w:color w:val="2D3748"/>
          <w:sz w:val="19"/>
        </w:rPr>
        <w:t>Bangladesh Bank Payment Systems Department (PSD)</w:t>
      </w:r>
      <w:r>
        <w:rPr>
          <w:rFonts w:ascii="Segoe UI" w:hAnsi="Segoe UI"/>
          <w:color w:val="2D3748"/>
          <w:sz w:val="19"/>
        </w:rPr>
        <w:t>. ULMS v2.0 integrates with four primary payment channels: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1. </w:t>
      </w:r>
      <w:r>
        <w:rPr>
          <w:rFonts w:ascii="Segoe UI" w:hAnsi="Segoe UI"/>
          <w:b/>
          <w:color w:val="2D3748"/>
          <w:sz w:val="19"/>
        </w:rPr>
        <w:t>Bangladesh Electronic Funds Transfer Network (BEFTN):</w:t>
      </w:r>
      <w:r>
        <w:rPr>
          <w:rFonts w:ascii="Segoe UI" w:hAnsi="Segoe UI"/>
          <w:color w:val="2D3748"/>
          <w:sz w:val="19"/>
        </w:rPr>
        <w:t xml:space="preserve"> Batch automated clearing for corporate and retail loan disbursements and scheduled Standing Orders.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2. </w:t>
      </w:r>
      <w:r>
        <w:rPr>
          <w:rFonts w:ascii="Segoe UI" w:hAnsi="Segoe UI"/>
          <w:b/>
          <w:color w:val="2D3748"/>
          <w:sz w:val="19"/>
        </w:rPr>
        <w:t>Real-Time Gross Settlement (BD-RTGS):</w:t>
      </w:r>
      <w:r>
        <w:rPr>
          <w:rFonts w:ascii="Segoe UI" w:hAnsi="Segoe UI"/>
          <w:color w:val="2D3748"/>
          <w:sz w:val="19"/>
        </w:rPr>
        <w:t xml:space="preserve"> High-value (BDT $\ge 100,000$) instant fund transfers using ISO 20022 message schemas (</w:t>
      </w:r>
      <w:r>
        <w:rPr>
          <w:rFonts w:ascii="Consolas" w:hAnsi="Consolas"/>
          <w:color w:val="801515"/>
          <w:sz w:val="18"/>
        </w:rPr>
        <w:t>pacs.008</w:t>
      </w:r>
      <w:r>
        <w:rPr>
          <w:rFonts w:ascii="Segoe UI" w:hAnsi="Segoe UI"/>
          <w:color w:val="2D3748"/>
          <w:sz w:val="19"/>
        </w:rPr>
        <w:t xml:space="preserve">, </w:t>
      </w:r>
      <w:r>
        <w:rPr>
          <w:rFonts w:ascii="Consolas" w:hAnsi="Consolas"/>
          <w:color w:val="801515"/>
          <w:sz w:val="18"/>
        </w:rPr>
        <w:t>pacs.009</w:t>
      </w:r>
      <w:r>
        <w:rPr>
          <w:rFonts w:ascii="Segoe UI" w:hAnsi="Segoe UI"/>
          <w:color w:val="2D3748"/>
          <w:sz w:val="19"/>
        </w:rPr>
        <w:t>).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3. </w:t>
      </w:r>
      <w:r>
        <w:rPr>
          <w:rFonts w:ascii="Segoe UI" w:hAnsi="Segoe UI"/>
          <w:b/>
          <w:color w:val="2D3748"/>
          <w:sz w:val="19"/>
        </w:rPr>
        <w:t>National Payment Switch Bangladesh (NPSB):</w:t>
      </w:r>
      <w:r>
        <w:rPr>
          <w:rFonts w:ascii="Segoe UI" w:hAnsi="Segoe UI"/>
          <w:color w:val="2D3748"/>
          <w:sz w:val="19"/>
        </w:rPr>
        <w:t xml:space="preserve"> Real-time retail interbank fund transfers and card-based collections.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4. </w:t>
      </w:r>
      <w:r>
        <w:rPr>
          <w:rFonts w:ascii="Segoe UI" w:hAnsi="Segoe UI"/>
          <w:b/>
          <w:color w:val="2D3748"/>
          <w:sz w:val="19"/>
        </w:rPr>
        <w:t>Mobile Financial Services (MFS):</w:t>
      </w:r>
      <w:r>
        <w:rPr>
          <w:rFonts w:ascii="Segoe UI" w:hAnsi="Segoe UI"/>
          <w:color w:val="2D3748"/>
          <w:sz w:val="19"/>
        </w:rPr>
        <w:t xml:space="preserve"> Real-time retail loan repayments via bKash, Nagad, and Rocket APIs.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mermaid</w:t>
              <w:br/>
            </w:r>
            <w:r>
              <w:rPr>
                <w:rFonts w:ascii="Consolas" w:hAnsi="Consolas"/>
                <w:color w:val="1A202C"/>
                <w:sz w:val="17"/>
              </w:rPr>
              <w:t>[MERMAID ARCHITECTURE SPECIFICATION]</w:t>
              <w:br/>
              <w:t>flowchart TD</w:t>
              <w:br/>
              <w:t xml:space="preserve">    subgraph ULMS_Core ["ULMS v2.0 Core Servicing Module"]</w:t>
              <w:br/>
              <w:t xml:space="preserve">        SERVICING["Servicing Engine&lt;br/&gt;(`LoanServicingService`)"]</w:t>
              <w:br/>
              <w:t xml:space="preserve">        OUTBOX["Transactional Outbox&lt;br/&gt;(`ulms.outbox_event`)"]</w:t>
              <w:br/>
              <w:t xml:space="preserve">        RAIL_PORT["Payment Rail Port&lt;br/&gt;(`PaymentRailPort`)"]</w:t>
              <w:br/>
              <w:t xml:space="preserve">    end</w:t>
              <w:br/>
              <w:br/>
              <w:t xml:space="preserve">    subgraph Adapters ["Hexagonal Rail Adapters (`integration.rails`)"]</w:t>
              <w:br/>
              <w:t xml:space="preserve">        BEFTN_ADAPTER["BEFTN Batch File Adapter&lt;br/&gt;(NACHA / XML format)"]</w:t>
              <w:br/>
              <w:t xml:space="preserve">        RTGS_ADAPTER["BD-RTGS Adapter&lt;br/&gt;(ISO 20022 `pacs.008`)"]</w:t>
              <w:br/>
              <w:t xml:space="preserve">        NPSB_ADAPTER["NPSB Switch Adapter&lt;br/&gt;(ISO 8583 bridge)"]</w:t>
              <w:br/>
              <w:t xml:space="preserve">        MFS_ADAPTER["MFS Aggregator Adapter&lt;br/&gt;(bKash / Nagad Tokenized REST)"]</w:t>
              <w:br/>
              <w:t xml:space="preserve">    end</w:t>
              <w:br/>
              <w:br/>
              <w:t xml:space="preserve">    subgraph Clearing_House ["National Clearing &amp; MFS Rails"]</w:t>
              <w:br/>
              <w:t xml:space="preserve">        BB_BACPS["Bangladesh Bank BACPS (BEFTN)"]</w:t>
              <w:br/>
              <w:t xml:space="preserve">        BB_RTGS["Bangladesh Bank RTGS Engine"]</w:t>
              <w:br/>
              <w:t xml:space="preserve">        BB_NPSB["Bangladesh Bank NPSB Switch"]</w:t>
              <w:br/>
              <w:t xml:space="preserve">        MFS_RAILS["MFS Providers (bKash/Nagad)"]</w:t>
              <w:br/>
              <w:t xml:space="preserve">    end</w:t>
              <w:br/>
              <w:br/>
              <w:t xml:space="preserve">    SERVICING --&gt;|1. Commit Payment Record| OUTBOX</w:t>
              <w:br/>
              <w:t xml:space="preserve">    OUTBOX --&gt;|2. Reliable Event Relay| RAIL_PORT</w:t>
              <w:br/>
              <w:t xml:space="preserve">    RAIL_PORT --&gt; BEFTN_ADAPTER</w:t>
              <w:br/>
              <w:t xml:space="preserve">    RAIL_PORT --&gt; RTGS_ADAPTER</w:t>
              <w:br/>
              <w:t xml:space="preserve">    RAIL_PORT --&gt; NPSB_ADAPTER</w:t>
              <w:br/>
              <w:t xml:space="preserve">    RAIL_PORT --&gt; MFS_ADAPTER</w:t>
              <w:br/>
              <w:br/>
              <w:t xml:space="preserve">    BEFTN_ADAPTER --&gt; BB_BACPS</w:t>
              <w:br/>
              <w:t xml:space="preserve">    RTGS_ADAPTER --&gt; BB_RTGS</w:t>
              <w:br/>
              <w:t xml:space="preserve">    NPSB_ADAPTER --&gt; BB_NPSB</w:t>
              <w:br/>
              <w:t xml:space="preserve">    MFS_ADAPTER --&gt; MFS_RAILS</w:t>
            </w:r>
          </w:p>
        </w:tc>
      </w:tr>
    </w:tbl>
    <w:p>
      <w:pPr>
        <w:spacing w:before="4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2. Architectural Design Patterns &amp; Resiliency</w:t>
      </w: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2.1 The Hexagonal Rail Port Interface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ULMS abstracts all physical rail complexities behind the clean domain port </w:t>
      </w:r>
      <w:r>
        <w:rPr>
          <w:rFonts w:ascii="Consolas" w:hAnsi="Consolas"/>
          <w:color w:val="801515"/>
          <w:sz w:val="18"/>
        </w:rPr>
        <w:t>com.uslbd.ulms.integration.rails.PaymentRailPort</w:t>
      </w:r>
      <w:r>
        <w:rPr>
          <w:rFonts w:ascii="Segoe UI" w:hAnsi="Segoe UI"/>
          <w:color w:val="2D3748"/>
          <w:sz w:val="19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java</w:t>
              <w:br/>
            </w:r>
            <w:r>
              <w:rPr>
                <w:rFonts w:ascii="Consolas" w:hAnsi="Consolas"/>
                <w:color w:val="1A202C"/>
                <w:sz w:val="17"/>
              </w:rPr>
              <w:t>package com.uslbd.ulms.integration.rails;</w:t>
              <w:br/>
              <w:br/>
              <w:t>public interface PaymentRailPort {</w:t>
              <w:br/>
              <w:t xml:space="preserve">    PaymentDisbursementResult disburse(DisbursementInstruction instruction);</w:t>
              <w:br/>
              <w:t xml:space="preserve">    PaymentInquiryResult queryStatus(String idempotencyKey);</w:t>
              <w:br/>
              <w:t xml:space="preserve">    PaymentReversalResult reverse(ReversalInstruction instruction);</w:t>
              <w:br/>
              <w:t>}</w:t>
            </w:r>
          </w:p>
        </w:tc>
      </w:tr>
    </w:tbl>
    <w:p>
      <w:pPr>
        <w:spacing w:before="4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2.2 Strict Idempotency Key Enforcement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2 below, Standardized ISO 20022 and REST clearing contracts with strict idempotency key protection.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1638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_endpoint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163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2: REST API Rail Interfaces &amp; Clearing Message Envelopes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Standardized ISO 20022 and REST clearing contracts with strict idempotency key protection.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Every outbound clearing instruction generates a deterministic SHA-256 idempotency key composed of: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$$</w:t>
        <w:tab/>
        <w:t xml:space="preserve">ext{Key} = </w:t>
        <w:tab/>
        <w:t>ext{SHA256}(</w:t>
        <w:tab/>
        <w:t xml:space="preserve">ext{account\_no} \parallel </w:t>
        <w:tab/>
        <w:t xml:space="preserve">ext{installment\_no} \parallel </w:t>
        <w:tab/>
        <w:t xml:space="preserve">ext{amount\_minor} \parallel </w:t>
        <w:tab/>
        <w:t>ext{tx\_date})$$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Stored in </w:t>
      </w:r>
      <w:r>
        <w:rPr>
          <w:rFonts w:ascii="Consolas" w:hAnsi="Consolas"/>
          <w:color w:val="801515"/>
          <w:sz w:val="18"/>
        </w:rPr>
        <w:t>ulms.payment</w:t>
      </w:r>
      <w:r>
        <w:rPr>
          <w:rFonts w:ascii="Segoe UI" w:hAnsi="Segoe UI"/>
          <w:color w:val="2D3748"/>
          <w:sz w:val="19"/>
        </w:rPr>
        <w:t>, preventing double-crediting during network timeouts or retry loops.</w:t>
      </w: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2.3 Clearing Settlement Cutoff Schedule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3 below, Live telemetry tracking outbound clearing settlement and ledger posting status.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433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hom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3: Core Banking Real-Time Portfolio &amp; Payment Sync Monitor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Live telemetry tracking outbound clearing settlement and ledger posting status.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W w:w="1872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Rail</w:t>
            </w:r>
          </w:p>
        </w:tc>
        <w:tc>
          <w:tcPr>
            <w:tcW w:type="dxa" w:w="1872"/>
            <w:tcW w:w="1872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Settlement Frequency</w:t>
            </w:r>
          </w:p>
        </w:tc>
        <w:tc>
          <w:tcPr>
            <w:tcW w:type="dxa" w:w="1872"/>
            <w:tcW w:w="1872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Cutoff Window</w:t>
            </w:r>
          </w:p>
        </w:tc>
        <w:tc>
          <w:tcPr>
            <w:tcW w:type="dxa" w:w="1872"/>
            <w:tcW w:w="1872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Latency SLA</w:t>
            </w:r>
          </w:p>
        </w:tc>
        <w:tc>
          <w:tcPr>
            <w:tcW w:type="dxa" w:w="1872"/>
            <w:tcW w:w="1872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Fallback Protocol</w:t>
            </w:r>
          </w:p>
        </w:tc>
      </w:tr>
      <w:tr>
        <w:trPr>
          <w:cantSplit/>
        </w:trPr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BEFTN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 Sessions Daily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S1 12:00–15:00 · S2 15:00–23:59 · S3 00:00–10:00 (same-day cut-off 12:30; closed Fri/Sat/holidays)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$T+0$ to $T+1$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Next clearing cycle</w:t>
            </w:r>
          </w:p>
        </w:tc>
      </w:tr>
      <w:tr>
        <w:trPr>
          <w:cantSplit/>
        </w:trPr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BD-RTGS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Real-Time Continuous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per current PSD schedule (Sunday–Thursday; illustrative 09:00–16:30)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$&lt; 15$ seconds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Queue in Outbox until RTGS open</w:t>
            </w:r>
          </w:p>
        </w:tc>
      </w:tr>
      <w:tr>
        <w:trPr>
          <w:cantSplit/>
        </w:trPr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NPSB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Real-Time $24/7$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Continuous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$&lt; 3$ seconds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Retry 3 times, fail to BEFTN</w:t>
            </w:r>
          </w:p>
        </w:tc>
      </w:tr>
      <w:tr>
        <w:trPr>
          <w:cantSplit/>
        </w:trPr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bKash / Nagad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Real-Time $24/7$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Continuous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$&lt; 5$ seconds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Asynchronous webhook reconciliation</w:t>
            </w:r>
          </w:p>
        </w:tc>
      </w:tr>
    </w:tbl>
    <w:p>
      <w:pPr>
        <w:spacing w:before="8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3. Discrepancy Reconciliation &amp; Ledger Balancing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Every morning at 06:00 AM, the ULMS Reconciliation Batch executes: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1. </w:t>
      </w:r>
      <w:r>
        <w:rPr>
          <w:rFonts w:ascii="Segoe UI" w:hAnsi="Segoe UI"/>
          <w:color w:val="2D3748"/>
          <w:sz w:val="19"/>
        </w:rPr>
        <w:t>Downloads clearing return files from BACPS SFTP.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2. </w:t>
      </w:r>
      <w:r>
        <w:rPr>
          <w:rFonts w:ascii="Segoe UI" w:hAnsi="Segoe UI"/>
          <w:color w:val="2D3748"/>
          <w:sz w:val="19"/>
        </w:rPr>
        <w:t xml:space="preserve">Matches external settlement references against </w:t>
      </w:r>
      <w:r>
        <w:rPr>
          <w:rFonts w:ascii="Consolas" w:hAnsi="Consolas"/>
          <w:color w:val="801515"/>
          <w:sz w:val="18"/>
        </w:rPr>
        <w:t>ulms.payment</w:t>
      </w:r>
      <w:r>
        <w:rPr>
          <w:rFonts w:ascii="Segoe UI" w:hAnsi="Segoe UI"/>
          <w:color w:val="2D3748"/>
          <w:sz w:val="19"/>
        </w:rPr>
        <w:t>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3. </w:t>
      </w:r>
      <w:r>
        <w:rPr>
          <w:rFonts w:ascii="Segoe UI" w:hAnsi="Segoe UI"/>
          <w:color w:val="2D3748"/>
          <w:sz w:val="19"/>
        </w:rPr>
        <w:t>In case of returned items, reverses loan credits and restores borrower DPD counters.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4. </w:t>
      </w:r>
      <w:r>
        <w:rPr>
          <w:rFonts w:ascii="Segoe UI" w:hAnsi="Segoe UI"/>
          <w:color w:val="2D3748"/>
          <w:sz w:val="19"/>
        </w:rPr>
        <w:t>Generates an unbalanced clearing exceptions alert to the treasury desk.</w:t>
      </w:r>
    </w:p>
    <w:p>
      <w:r>
        <w:rPr>
          <w:b/>
        </w:rPr>
        <w:t>Addendum — v3.1.0 corrections (Independent Forensic Re-audit, 8 October 2026)</w:t>
      </w:r>
    </w:p>
    <w:p>
      <w:r>
        <w:t>BEFTN session data refreshed (v3.1.0): three settlement sessions per working day per current Bangladesh Bank PSD operating schedule; RTGS window shown as illustrative pending the current PSD circular.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Segoe UI" w:hAnsi="Segoe UI"/>
        <w:color w:val="718096"/>
        <w:sz w:val="17"/>
      </w:rPr>
      <w:t xml:space="preserve">Unisoft Systems Limited · Institutional Banking Asset         </w:t>
    </w:r>
    <w:r>
      <w:rPr>
        <w:rFonts w:ascii="Segoe UI" w:hAnsi="Segoe UI"/>
        <w:color w:val="2D3748"/>
        <w:sz w:val="17"/>
      </w:rPr>
      <w:t xml:space="preserve">Page </w:t>
      <w:fldChar w:fldCharType="begin"/>
      <w:instrText xml:space="preserve"> PAGE </w:instrText>
      <w:fldChar w:fldCharType="separate"/>
      <w:fldChar w:fldCharType="end"/>
    </w:r>
    <w:r>
      <w:rPr>
        <w:rFonts w:ascii="Segoe UI" w:hAnsi="Segoe UI"/>
        <w:color w:val="2D3748"/>
        <w:sz w:val="17"/>
      </w:rPr>
      <w:t xml:space="preserve"> of </w:t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</w:pPr>
    <w:r>
      <w:rPr>
        <w:rFonts w:ascii="Segoe UI" w:hAnsi="Segoe UI"/>
        <w:color w:val="718096"/>
        <w:sz w:val="17"/>
      </w:rPr>
      <w:t xml:space="preserve">ULMS v2.0 · DOC-01-ARCH-03  |  </w:t>
    </w:r>
    <w:r>
      <w:rPr>
        <w:rFonts w:ascii="Segoe UI" w:hAnsi="Segoe UI"/>
        <w:b/>
        <w:color w:val="C53030"/>
        <w:sz w:val="17"/>
      </w:rPr>
      <w:t>RESTRICTED — BANK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