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003366"/>
            <w:tcMar>
              <w:top w:w="260" w:type="dxa"/>
              <w:bottom w:w="260" w:type="dxa"/>
              <w:left w:w="300" w:type="dxa"/>
              <w:right w:w="300" w:type="dxa"/>
            </w:tcMar>
            <w:tcBorders>
              <w:top w:val="single" w:sz="6" w:space="0" w:color="003366"/>
              <w:left w:val="single" w:sz="24" w:space="0" w:color="D4AF37"/>
              <w:bottom w:val="single" w:sz="18" w:space="0" w:color="D4AF37"/>
              <w:right w:val="single" w:sz="6" w:space="0" w:color="003366"/>
            </w:tcBorders>
          </w:tcPr>
          <w:p>
            <w:pPr>
              <w:spacing w:before="0" w:after="80"/>
            </w:pPr>
            <w:r>
              <w:rPr>
                <w:rFonts w:ascii="Segoe UI" w:hAnsi="Segoe UI"/>
                <w:b/>
                <w:color w:val="D4AF37"/>
                <w:sz w:val="19"/>
              </w:rPr>
              <w:t>UNISOFT LOAN MANAGEMENT SYSTEM (ULMS v2.0) · 01 ARCHITECTURE</w:t>
              <w:br/>
            </w:r>
            <w:r>
              <w:rPr>
                <w:rFonts w:ascii="Segoe UI" w:hAnsi="Segoe UI"/>
                <w:b/>
                <w:color w:val="FFFFFF"/>
                <w:sz w:val="34"/>
              </w:rPr>
              <w:t>DOC-01-ARCH-07: Enterprise Audit Trail, Immutable Logging &amp; Non-Repudiation Architecture</w:t>
              <w:br/>
            </w:r>
            <w:r>
              <w:rPr>
                <w:rFonts w:ascii="Segoe UI" w:hAnsi="Segoe UI"/>
                <w:i/>
                <w:color w:val="CBD5E0"/>
                <w:sz w:val="17"/>
              </w:rPr>
              <w:t>Document ID: DOC-01-ARCH-07  ·  Standard: Diátaxis / C4 Model  ·  Bangladesh Bank Compliant</w:t>
            </w:r>
          </w:p>
        </w:tc>
      </w:tr>
    </w:tbl>
    <w:p>
      <w:pPr>
        <w:spacing w:before="80" w:after="80"/>
      </w:pPr>
    </w:p>
    <w:p>
      <w:pPr>
        <w:spacing w:before="0" w:after="80" w:line="276" w:lineRule="auto"/>
      </w:pPr>
      <w:r>
        <w:rPr>
          <w:rFonts w:ascii="Segoe UI" w:hAnsi="Segoe UI"/>
          <w:color w:val="2D3748"/>
          <w:sz w:val="19"/>
        </w:rPr>
        <w:t>type: reference</w:t>
      </w:r>
    </w:p>
    <w:p>
      <w:pPr>
        <w:spacing w:before="0" w:after="80" w:line="276" w:lineRule="auto"/>
      </w:pPr>
      <w:r>
        <w:rPr>
          <w:rFonts w:ascii="Segoe UI" w:hAnsi="Segoe UI"/>
          <w:color w:val="2D3748"/>
          <w:sz w:val="19"/>
        </w:rPr>
        <w:t>topic: audit_trail_immutable_logging_non_repudiation</w:t>
      </w:r>
    </w:p>
    <w:p>
      <w:pPr>
        <w:spacing w:before="0" w:after="80" w:line="276" w:lineRule="auto"/>
      </w:pPr>
      <w:r>
        <w:rPr>
          <w:rFonts w:ascii="Segoe UI" w:hAnsi="Segoe UI"/>
          <w:color w:val="2D3748"/>
          <w:sz w:val="19"/>
        </w:rPr>
        <w:t>target_audience: [compliance_officer, security_architect, auditor, bank_inspector]</w:t>
      </w:r>
    </w:p>
    <w:p>
      <w:pPr>
        <w:spacing w:before="0" w:after="80" w:line="276" w:lineRule="auto"/>
      </w:pPr>
      <w:r>
        <w:rPr>
          <w:rFonts w:ascii="Segoe UI" w:hAnsi="Segoe UI"/>
          <w:color w:val="2D3748"/>
          <w:sz w:val="19"/>
        </w:rPr>
        <w:t>version: 2026.10</w:t>
      </w:r>
    </w:p>
    <w:p>
      <w:pPr>
        <w:spacing w:before="0" w:after="80" w:line="276" w:lineRule="auto"/>
      </w:pPr>
      <w:r>
        <w:rPr>
          <w:rFonts w:ascii="Segoe UI" w:hAnsi="Segoe UI"/>
          <w:color w:val="2D3748"/>
          <w:sz w:val="19"/>
        </w:rPr>
        <w:t>document_id: DOC-01-ARCH-07</w:t>
      </w:r>
    </w:p>
    <w:p>
      <w:pPr>
        <w:keepNext/>
        <w:spacing w:before="280" w:after="80"/>
      </w:pPr>
      <w:r>
        <w:rPr>
          <w:rFonts w:ascii="Segoe UI" w:hAnsi="Segoe UI"/>
          <w:b/>
          <w:color w:val="003366"/>
          <w:sz w:val="29"/>
        </w:rPr>
        <w:t>DOC-01-ARCH-07: Enterprise Audit Trail, Immutable Logging &amp; Non-Repudiation Architecture</w:t>
      </w:r>
    </w:p>
    <w:p>
      <w:pPr>
        <w:spacing w:before="0" w:after="80" w:line="276" w:lineRule="auto"/>
      </w:pPr>
      <w:r>
        <w:rPr>
          <w:rFonts w:ascii="Segoe UI" w:hAnsi="Segoe UI"/>
          <w:color w:val="2D3748"/>
          <w:sz w:val="19"/>
        </w:rPr>
        <w:t>As illustrated in Figure 1 below, Live view of ulms.audit_entry recording user mutations, timestamps, and cryptographic chains.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AFAFA"/>
            <w:tcMar>
              <w:top w:w="120" w:type="dxa"/>
              <w:bottom w:w="120" w:type="dxa"/>
              <w:left w:w="120" w:type="dxa"/>
              <w:right w:w="120" w:type="dxa"/>
            </w:tcMar>
            <w:tcBorders>
              <w:top w:val="single" w:sz="8" w:space="0" w:color="CBD5E0"/>
              <w:left w:val="single" w:sz="8" w:space="0" w:color="CBD5E0"/>
              <w:bottom w:val="single" w:sz="8" w:space="0" w:color="CBD5E0"/>
              <w:right w:val="single" w:sz="8" w:space="0" w:color="CBD5E0"/>
            </w:tcBorders>
          </w:tcPr>
          <w:p>
            <w:pPr>
              <w:spacing w:before="80"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669280" cy="318897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05_customers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69280" cy="318897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keepNext/>
        <w:spacing w:before="60" w:after="20"/>
        <w:jc w:val="center"/>
      </w:pPr>
      <w:r>
        <w:rPr>
          <w:rFonts w:ascii="Segoe UI" w:hAnsi="Segoe UI"/>
          <w:b/>
          <w:color w:val="003366"/>
          <w:sz w:val="18"/>
        </w:rPr>
        <w:t>Figure 1: Immutable Domain Audit Log &amp; Relational Entity Grid</w:t>
      </w:r>
    </w:p>
    <w:p>
      <w:pPr>
        <w:spacing w:before="0" w:after="160"/>
        <w:jc w:val="center"/>
      </w:pPr>
      <w:r>
        <w:rPr>
          <w:rFonts w:ascii="Segoe UI" w:hAnsi="Segoe UI"/>
          <w:i/>
          <w:color w:val="718096"/>
          <w:sz w:val="16"/>
        </w:rPr>
        <w:t>Live view of ulms.audit_entry recording user mutations, timestamps, and cryptographic chains.</w:t>
      </w:r>
    </w:p>
    <w:p>
      <w:pPr>
        <w:spacing w:before="0" w:after="80" w:line="276" w:lineRule="auto"/>
      </w:pPr>
      <w:r>
        <w:rPr>
          <w:rFonts w:ascii="Segoe UI" w:hAnsi="Segoe UI"/>
          <w:b/>
          <w:color w:val="2D3748"/>
          <w:sz w:val="19"/>
        </w:rPr>
        <w:t>Document Control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tcW w:w="4680" w:type="dxa"/>
            <w:shd w:fill="003366"/>
            <w:tcMar>
              <w:top w:w="140" w:type="dxa"/>
              <w:bottom w:w="140" w:type="dxa"/>
              <w:left w:w="160" w:type="dxa"/>
              <w:right w:w="160" w:type="dxa"/>
            </w:tcMar>
            <w:tcBorders>
              <w:top w:val="single" w:sz="4" w:space="0" w:color="CBD5E0"/>
              <w:left w:val="single" w:sz="4" w:space="0" w:color="CBD5E0"/>
              <w:bottom w:val="single" w:sz="12" w:space="0" w:color="D4AF37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FFFFFF"/>
                <w:sz w:val="18"/>
              </w:rPr>
              <w:t>Field</w:t>
            </w:r>
          </w:p>
        </w:tc>
        <w:tc>
          <w:tcPr>
            <w:tcW w:type="dxa" w:w="4680"/>
            <w:tcW w:w="4680" w:type="dxa"/>
            <w:shd w:fill="003366"/>
            <w:tcMar>
              <w:top w:w="140" w:type="dxa"/>
              <w:bottom w:w="140" w:type="dxa"/>
              <w:left w:w="160" w:type="dxa"/>
              <w:right w:w="160" w:type="dxa"/>
            </w:tcMar>
            <w:tcBorders>
              <w:top w:val="single" w:sz="4" w:space="0" w:color="CBD5E0"/>
              <w:left w:val="single" w:sz="4" w:space="0" w:color="CBD5E0"/>
              <w:bottom w:val="single" w:sz="12" w:space="0" w:color="D4AF37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FFFFFF"/>
                <w:sz w:val="18"/>
              </w:rPr>
              <w:t>Value</w:t>
            </w:r>
          </w:p>
        </w:tc>
      </w:tr>
      <w:tr>
        <w:trPr>
          <w:cantSplit/>
        </w:trPr>
        <w:tc>
          <w:tcPr>
            <w:tcW w:type="dxa" w:w="4680"/>
            <w:tcW w:w="468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2D3748"/>
                <w:sz w:val="17"/>
              </w:rPr>
              <w:t>Document Title</w:t>
            </w:r>
          </w:p>
        </w:tc>
        <w:tc>
          <w:tcPr>
            <w:tcW w:type="dxa" w:w="4680"/>
            <w:tcW w:w="468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Enterprise Audit Trail &amp; Immutable Logging Architecture</w:t>
            </w:r>
          </w:p>
        </w:tc>
      </w:tr>
      <w:tr>
        <w:trPr>
          <w:cantSplit/>
        </w:trPr>
        <w:tc>
          <w:tcPr>
            <w:tcW w:type="dxa" w:w="4680"/>
            <w:tcW w:w="468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2D3748"/>
                <w:sz w:val="17"/>
              </w:rPr>
              <w:t>Project Name</w:t>
            </w:r>
          </w:p>
        </w:tc>
        <w:tc>
          <w:tcPr>
            <w:tcW w:type="dxa" w:w="4680"/>
            <w:tcW w:w="468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Unisoft Loan Management System (ULMS v2.0)</w:t>
            </w:r>
          </w:p>
        </w:tc>
      </w:tr>
      <w:tr>
        <w:trPr>
          <w:cantSplit/>
        </w:trPr>
        <w:tc>
          <w:tcPr>
            <w:tcW w:type="dxa" w:w="4680"/>
            <w:tcW w:w="468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2D3748"/>
                <w:sz w:val="17"/>
              </w:rPr>
              <w:t>Document Version</w:t>
            </w:r>
          </w:p>
        </w:tc>
        <w:tc>
          <w:tcPr>
            <w:tcW w:type="dxa" w:w="4680"/>
            <w:tcW w:w="468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3.0.0</w:t>
            </w:r>
          </w:p>
        </w:tc>
      </w:tr>
      <w:tr>
        <w:trPr>
          <w:cantSplit/>
        </w:trPr>
        <w:tc>
          <w:tcPr>
            <w:tcW w:type="dxa" w:w="4680"/>
            <w:tcW w:w="468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2D3748"/>
                <w:sz w:val="17"/>
              </w:rPr>
              <w:t>Date</w:t>
            </w:r>
          </w:p>
        </w:tc>
        <w:tc>
          <w:tcPr>
            <w:tcW w:type="dxa" w:w="4680"/>
            <w:tcW w:w="468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2026-10-07</w:t>
            </w:r>
          </w:p>
        </w:tc>
      </w:tr>
      <w:tr>
        <w:trPr>
          <w:cantSplit/>
        </w:trPr>
        <w:tc>
          <w:tcPr>
            <w:tcW w:type="dxa" w:w="4680"/>
            <w:tcW w:w="468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2D3748"/>
                <w:sz w:val="17"/>
              </w:rPr>
              <w:t>Classification</w:t>
            </w:r>
          </w:p>
        </w:tc>
        <w:tc>
          <w:tcPr>
            <w:tcW w:type="dxa" w:w="4680"/>
            <w:tcW w:w="468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Statutory Compliance &amp; Security Specification</w:t>
            </w:r>
          </w:p>
        </w:tc>
      </w:tr>
      <w:tr>
        <w:trPr>
          <w:cantSplit/>
        </w:trPr>
        <w:tc>
          <w:tcPr>
            <w:tcW w:type="dxa" w:w="4680"/>
            <w:tcW w:w="468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2D3748"/>
                <w:sz w:val="17"/>
              </w:rPr>
              <w:t>Status</w:t>
            </w:r>
          </w:p>
        </w:tc>
        <w:tc>
          <w:tcPr>
            <w:tcW w:type="dxa" w:w="4680"/>
            <w:tcW w:w="468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Approved Master Specification</w:t>
            </w:r>
          </w:p>
        </w:tc>
      </w:tr>
      <w:tr>
        <w:trPr>
          <w:cantSplit/>
        </w:trPr>
        <w:tc>
          <w:tcPr>
            <w:tcW w:type="dxa" w:w="4680"/>
            <w:tcW w:w="468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2D3748"/>
                <w:sz w:val="17"/>
              </w:rPr>
              <w:t>Authority Chain</w:t>
            </w:r>
          </w:p>
        </w:tc>
        <w:tc>
          <w:tcPr>
            <w:tcW w:type="dxa" w:w="4680"/>
            <w:tcW w:w="468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Bangladesh Bank ICT Security Guidelines V4.0 (audit logging) → Bank Company Act 1991 (books of account; 12-year retention) → NIST SP 800-92</w:t>
            </w:r>
          </w:p>
        </w:tc>
      </w:tr>
    </w:tbl>
    <w:p>
      <w:pPr>
        <w:spacing w:before="80" w:after="80"/>
      </w:pPr>
    </w:p>
    <w:p>
      <w:pPr>
        <w:spacing w:before="160" w:after="40"/>
      </w:pPr>
      <w:r>
        <w:rPr>
          <w:rFonts w:ascii="Segoe UI" w:hAnsi="Segoe UI"/>
          <w:b/>
          <w:color w:val="1A365D"/>
          <w:sz w:val="22"/>
        </w:rPr>
        <w:t>Document Revision History &amp; Institutional Sign-Off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985"/>
            <w:tcW w:w="985" w:type="dxa"/>
            <w:shd w:fill="003366"/>
            <w:tcMar>
              <w:top w:w="140" w:type="dxa"/>
              <w:bottom w:w="140" w:type="dxa"/>
              <w:left w:w="160" w:type="dxa"/>
              <w:right w:w="160" w:type="dxa"/>
            </w:tcMar>
            <w:tcBorders>
              <w:top w:val="single" w:sz="4" w:space="0" w:color="CBD5E0"/>
              <w:left w:val="single" w:sz="4" w:space="0" w:color="CBD5E0"/>
              <w:bottom w:val="single" w:sz="12" w:space="0" w:color="D4AF37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FFFFFF"/>
                <w:sz w:val="18"/>
              </w:rPr>
              <w:t>Version</w:t>
            </w:r>
          </w:p>
        </w:tc>
        <w:tc>
          <w:tcPr>
            <w:tcW w:type="dxa" w:w="1379"/>
            <w:tcW w:w="1379" w:type="dxa"/>
            <w:shd w:fill="003366"/>
            <w:tcMar>
              <w:top w:w="140" w:type="dxa"/>
              <w:bottom w:w="140" w:type="dxa"/>
              <w:left w:w="160" w:type="dxa"/>
              <w:right w:w="160" w:type="dxa"/>
            </w:tcMar>
            <w:tcBorders>
              <w:top w:val="single" w:sz="4" w:space="0" w:color="CBD5E0"/>
              <w:left w:val="single" w:sz="4" w:space="0" w:color="CBD5E0"/>
              <w:bottom w:val="single" w:sz="12" w:space="0" w:color="D4AF37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FFFFFF"/>
                <w:sz w:val="18"/>
              </w:rPr>
              <w:t>Release Date</w:t>
            </w:r>
          </w:p>
        </w:tc>
        <w:tc>
          <w:tcPr>
            <w:tcW w:type="dxa" w:w="1971"/>
            <w:tcW w:w="1971" w:type="dxa"/>
            <w:shd w:fill="003366"/>
            <w:tcMar>
              <w:top w:w="140" w:type="dxa"/>
              <w:bottom w:w="140" w:type="dxa"/>
              <w:left w:w="160" w:type="dxa"/>
              <w:right w:w="160" w:type="dxa"/>
            </w:tcMar>
            <w:tcBorders>
              <w:top w:val="single" w:sz="4" w:space="0" w:color="CBD5E0"/>
              <w:left w:val="single" w:sz="4" w:space="0" w:color="CBD5E0"/>
              <w:bottom w:val="single" w:sz="12" w:space="0" w:color="D4AF37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FFFFFF"/>
                <w:sz w:val="18"/>
              </w:rPr>
              <w:t>Author / Role</w:t>
            </w:r>
          </w:p>
        </w:tc>
        <w:tc>
          <w:tcPr>
            <w:tcW w:type="dxa" w:w="3547"/>
            <w:tcW w:w="3547" w:type="dxa"/>
            <w:shd w:fill="003366"/>
            <w:tcMar>
              <w:top w:w="140" w:type="dxa"/>
              <w:bottom w:w="140" w:type="dxa"/>
              <w:left w:w="160" w:type="dxa"/>
              <w:right w:w="160" w:type="dxa"/>
            </w:tcMar>
            <w:tcBorders>
              <w:top w:val="single" w:sz="4" w:space="0" w:color="CBD5E0"/>
              <w:left w:val="single" w:sz="4" w:space="0" w:color="CBD5E0"/>
              <w:bottom w:val="single" w:sz="12" w:space="0" w:color="D4AF37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FFFFFF"/>
                <w:sz w:val="18"/>
              </w:rPr>
              <w:t>Summary of Technical Changes</w:t>
            </w:r>
          </w:p>
        </w:tc>
        <w:tc>
          <w:tcPr>
            <w:tcW w:type="dxa" w:w="1478"/>
            <w:tcW w:w="1478" w:type="dxa"/>
            <w:shd w:fill="003366"/>
            <w:tcMar>
              <w:top w:w="140" w:type="dxa"/>
              <w:bottom w:w="140" w:type="dxa"/>
              <w:left w:w="160" w:type="dxa"/>
              <w:right w:w="160" w:type="dxa"/>
            </w:tcMar>
            <w:tcBorders>
              <w:top w:val="single" w:sz="4" w:space="0" w:color="CBD5E0"/>
              <w:left w:val="single" w:sz="4" w:space="0" w:color="CBD5E0"/>
              <w:bottom w:val="single" w:sz="12" w:space="0" w:color="D4AF37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FFFFFF"/>
                <w:sz w:val="18"/>
              </w:rPr>
              <w:t>Status</w:t>
            </w:r>
          </w:p>
        </w:tc>
      </w:tr>
      <w:tr>
        <w:trPr>
          <w:cantSplit/>
        </w:trPr>
        <w:tc>
          <w:tcPr>
            <w:tcW w:type="dxa" w:w="985"/>
            <w:tcW w:w="985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1.0.0</w:t>
            </w:r>
          </w:p>
        </w:tc>
        <w:tc>
          <w:tcPr>
            <w:tcW w:type="dxa" w:w="1379"/>
            <w:tcW w:w="1379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January 2026</w:t>
            </w:r>
          </w:p>
        </w:tc>
        <w:tc>
          <w:tcPr>
            <w:tcW w:type="dxa" w:w="1971"/>
            <w:tcW w:w="1971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Documentation Core Team</w:t>
            </w:r>
          </w:p>
        </w:tc>
        <w:tc>
          <w:tcPr>
            <w:tcW w:type="dxa" w:w="3547"/>
            <w:tcW w:w="3547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Initial BRD &amp; Architecture Specification</w:t>
            </w:r>
          </w:p>
        </w:tc>
        <w:tc>
          <w:tcPr>
            <w:tcW w:type="dxa" w:w="1478"/>
            <w:tcW w:w="1478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Draft</w:t>
            </w:r>
          </w:p>
        </w:tc>
      </w:tr>
      <w:tr>
        <w:trPr>
          <w:cantSplit/>
        </w:trPr>
        <w:tc>
          <w:tcPr>
            <w:tcW w:type="dxa" w:w="985"/>
            <w:tcW w:w="985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2.0.0</w:t>
            </w:r>
          </w:p>
        </w:tc>
        <w:tc>
          <w:tcPr>
            <w:tcW w:type="dxa" w:w="1379"/>
            <w:tcW w:w="1379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February 2026</w:t>
            </w:r>
          </w:p>
        </w:tc>
        <w:tc>
          <w:tcPr>
            <w:tcW w:type="dxa" w:w="1971"/>
            <w:tcW w:w="1971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Principal Systems Architect</w:t>
            </w:r>
          </w:p>
        </w:tc>
        <w:tc>
          <w:tcPr>
            <w:tcW w:type="dxa" w:w="3547"/>
            <w:tcW w:w="3547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Apache Fineract &amp; Spring Boot Monolith Alignment</w:t>
            </w:r>
          </w:p>
        </w:tc>
        <w:tc>
          <w:tcPr>
            <w:tcW w:type="dxa" w:w="1478"/>
            <w:tcW w:w="1478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Approved</w:t>
            </w:r>
          </w:p>
        </w:tc>
      </w:tr>
      <w:tr>
        <w:trPr>
          <w:cantSplit/>
        </w:trPr>
        <w:tc>
          <w:tcPr>
            <w:tcW w:type="dxa" w:w="985"/>
            <w:tcW w:w="985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3.0.0</w:t>
            </w:r>
          </w:p>
        </w:tc>
        <w:tc>
          <w:tcPr>
            <w:tcW w:type="dxa" w:w="1379"/>
            <w:tcW w:w="1379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October 2026</w:t>
            </w:r>
          </w:p>
        </w:tc>
        <w:tc>
          <w:tcPr>
            <w:tcW w:type="dxa" w:w="1971"/>
            <w:tcW w:w="1971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Principal Auditor &amp; SRE Lead</w:t>
            </w:r>
          </w:p>
        </w:tc>
        <w:tc>
          <w:tcPr>
            <w:tcW w:type="dxa" w:w="3547"/>
            <w:tcW w:w="3547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Production Build Parity &amp; Zero-Trust Audit Release</w:t>
            </w:r>
          </w:p>
        </w:tc>
        <w:tc>
          <w:tcPr>
            <w:tcW w:type="dxa" w:w="1478"/>
            <w:tcW w:w="1478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Master Approved</w:t>
            </w:r>
          </w:p>
        </w:tc>
      </w:tr>
      <w:tr>
        <w:tc>
          <w:tcPr>
            <w:tcW w:type="dxa" w:w="1872"/>
          </w:tcPr>
          <w:p>
            <w:r>
              <w:t>3.1.0</w:t>
            </w:r>
          </w:p>
        </w:tc>
        <w:tc>
          <w:tcPr>
            <w:tcW w:type="dxa" w:w="1872"/>
          </w:tcPr>
          <w:p>
            <w:r>
              <w:t>October 2026</w:t>
            </w:r>
          </w:p>
        </w:tc>
        <w:tc>
          <w:tcPr>
            <w:tcW w:type="dxa" w:w="1872"/>
          </w:tcPr>
          <w:p>
            <w:r>
              <w:t>Independent Forensic Re-audit</w:t>
            </w:r>
          </w:p>
        </w:tc>
        <w:tc>
          <w:tcPr>
            <w:tcW w:type="dxa" w:w="1872"/>
          </w:tcPr>
          <w:p>
            <w:r>
              <w:t>Factual corrections per audit/docx_forensic_audit_2026-10-08.md</w:t>
            </w:r>
          </w:p>
        </w:tc>
        <w:tc>
          <w:tcPr>
            <w:tcW w:type="dxa" w:w="1872"/>
          </w:tcPr>
          <w:p>
            <w:r>
              <w:t>Applied</w:t>
            </w:r>
          </w:p>
        </w:tc>
      </w:tr>
    </w:tbl>
    <w:p>
      <w:pPr>
        <w:spacing w:before="80" w:after="80"/>
      </w:pPr>
    </w:p>
    <w:p>
      <w:pPr>
        <w:spacing w:before="240" w:after="80"/>
      </w:pPr>
      <w:r>
        <w:rPr>
          <w:rFonts w:ascii="Segoe UI" w:hAnsi="Segoe UI"/>
          <w:b/>
          <w:color w:val="003366"/>
          <w:sz w:val="28"/>
        </w:rPr>
        <w:t>Table of Contents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0F7FF"/>
            <w:tcMar>
              <w:top w:w="140" w:type="dxa"/>
              <w:bottom w:w="140" w:type="dxa"/>
              <w:left w:w="200" w:type="dxa"/>
              <w:right w:w="200" w:type="dxa"/>
            </w:tcMar>
            <w:tcBorders>
              <w:top w:val="single" w:sz="4" w:space="0" w:color="003366"/>
              <w:left w:val="single" w:sz="24" w:space="0" w:color="003366"/>
              <w:bottom w:val="single" w:sz="4" w:space="0" w:color="003366"/>
              <w:right w:val="single" w:sz="4" w:space="0" w:color="003366"/>
            </w:tcBorders>
          </w:tcPr>
          <w:p>
            <w:pPr>
              <w:spacing w:before="0" w:after="40"/>
            </w:pPr>
            <w:r>
              <w:rPr>
                <w:rFonts w:ascii="Segoe UI" w:hAnsi="Segoe UI"/>
                <w:b/>
                <w:color w:val="003366"/>
                <w:sz w:val="19"/>
              </w:rPr>
              <w:t xml:space="preserve">[NOTE]  </w:t>
            </w:r>
            <w:r>
              <w:rPr>
                <w:rFonts w:ascii="Segoe UI" w:hAnsi="Segoe UI"/>
                <w:color w:val="2D3748"/>
                <w:sz w:val="19"/>
              </w:rPr>
              <w:t>This document contains an automated Microsoft Word field. In Microsoft Word or LibreOffice, right-click this table and select 'Update Field' (or press F9) to refresh section page numbers.</w:t>
            </w:r>
          </w:p>
        </w:tc>
      </w:tr>
    </w:tbl>
    <w:p>
      <w:pPr>
        <w:spacing w:before="40" w:after="80"/>
      </w:pPr>
    </w:p>
    <w:p>
      <w:pPr>
        <w:spacing w:before="120" w:after="240"/>
      </w:pPr>
      <w:r>
        <w:fldChar w:fldCharType="begin"/>
        <w:instrText xml:space="preserve"> TOC \o "1-3" \h \z \u </w:instrText>
        <w:fldChar w:fldCharType="separate"/>
        <w:fldChar w:fldCharType="end"/>
      </w:r>
    </w:p>
    <w:p>
      <w:r>
        <w:br w:type="page"/>
      </w:r>
    </w:p>
    <w:p>
      <w:pPr>
        <w:keepNext/>
        <w:spacing w:before="200" w:after="60"/>
      </w:pPr>
      <w:r>
        <w:rPr>
          <w:rFonts w:ascii="Segoe UI" w:hAnsi="Segoe UI"/>
          <w:b/>
          <w:color w:val="1A365D"/>
          <w:sz w:val="24"/>
        </w:rPr>
        <w:t>1. Statutory Mandate &amp; Architecture Overview</w:t>
      </w:r>
    </w:p>
    <w:p>
      <w:pPr>
        <w:spacing w:before="0" w:after="80" w:line="276" w:lineRule="auto"/>
      </w:pPr>
      <w:r>
        <w:rPr>
          <w:rFonts w:ascii="Segoe UI" w:hAnsi="Segoe UI"/>
          <w:color w:val="2D3748"/>
          <w:sz w:val="19"/>
        </w:rPr>
        <w:t xml:space="preserve">Under </w:t>
      </w:r>
      <w:r>
        <w:rPr>
          <w:rFonts w:ascii="Segoe UI" w:hAnsi="Segoe UI"/>
          <w:b/>
          <w:color w:val="2D3748"/>
          <w:sz w:val="19"/>
        </w:rPr>
        <w:t>Bangladesh Bank ICT Security Guidelines V4.0 §3.4</w:t>
      </w:r>
      <w:r>
        <w:rPr>
          <w:rFonts w:ascii="Segoe UI" w:hAnsi="Segoe UI"/>
          <w:color w:val="2D3748"/>
          <w:sz w:val="19"/>
        </w:rPr>
        <w:t xml:space="preserve">, every scheduled commercial bank must maintain an immutable, tamper-evident audit log for all loan lifecycle events, credit committee decisions, manual interest overrides, and user access changes. Audit logs must be retained for a minimum of </w:t>
      </w:r>
      <w:r>
        <w:rPr>
          <w:rFonts w:ascii="Segoe UI" w:hAnsi="Segoe UI"/>
          <w:b/>
          <w:color w:val="2D3748"/>
          <w:sz w:val="19"/>
        </w:rPr>
        <w:t>12 years</w:t>
      </w:r>
      <w:r>
        <w:rPr>
          <w:rFonts w:ascii="Segoe UI" w:hAnsi="Segoe UI"/>
          <w:color w:val="2D3748"/>
          <w:sz w:val="19"/>
        </w:rPr>
        <w:t xml:space="preserve"> with cryptographic non-repudiation guarantees.</w:t>
      </w:r>
    </w:p>
    <w:p>
      <w:pPr>
        <w:spacing w:before="0" w:after="80" w:line="276" w:lineRule="auto"/>
      </w:pPr>
      <w:r>
        <w:rPr>
          <w:rFonts w:ascii="Segoe UI" w:hAnsi="Segoe UI"/>
          <w:color w:val="2D3748"/>
          <w:sz w:val="19"/>
        </w:rPr>
        <w:t>ULMS implements a dual-layer logging topology:</w:t>
      </w:r>
    </w:p>
    <w:p>
      <w:pPr>
        <w:spacing w:before="0" w:after="40" w:line="276" w:lineRule="auto"/>
        <w:ind w:left="360"/>
      </w:pPr>
      <w:r>
        <w:rPr>
          <w:rFonts w:ascii="Segoe UI" w:hAnsi="Segoe UI"/>
          <w:b/>
          <w:color w:val="003366"/>
          <w:sz w:val="19"/>
        </w:rPr>
        <w:t xml:space="preserve">1. </w:t>
      </w:r>
      <w:r>
        <w:rPr>
          <w:rFonts w:ascii="Segoe UI" w:hAnsi="Segoe UI"/>
          <w:b/>
          <w:color w:val="2D3748"/>
          <w:sz w:val="19"/>
        </w:rPr>
        <w:t>Application Domain Audit (`ulms.audit_entry`):</w:t>
      </w:r>
      <w:r>
        <w:rPr>
          <w:rFonts w:ascii="Segoe UI" w:hAnsi="Segoe UI"/>
          <w:color w:val="2D3748"/>
          <w:sz w:val="19"/>
        </w:rPr>
        <w:t xml:space="preserve"> High-level business events capturing who, what, when, IP address, before/after JSON diffs, and cryptographic hash chains.</w:t>
      </w:r>
    </w:p>
    <w:p>
      <w:pPr>
        <w:spacing w:before="0" w:after="40" w:line="276" w:lineRule="auto"/>
        <w:ind w:left="360"/>
      </w:pPr>
      <w:r>
        <w:rPr>
          <w:rFonts w:ascii="Segoe UI" w:hAnsi="Segoe UI"/>
          <w:b/>
          <w:color w:val="003366"/>
          <w:sz w:val="19"/>
        </w:rPr>
        <w:t xml:space="preserve">2. </w:t>
      </w:r>
      <w:r>
        <w:rPr>
          <w:rFonts w:ascii="Segoe UI" w:hAnsi="Segoe UI"/>
          <w:b/>
          <w:color w:val="2D3748"/>
          <w:sz w:val="19"/>
        </w:rPr>
        <w:t>Database Engine CDC &amp; Trigger Logging:</w:t>
      </w:r>
      <w:r>
        <w:rPr>
          <w:rFonts w:ascii="Segoe UI" w:hAnsi="Segoe UI"/>
          <w:color w:val="2D3748"/>
          <w:sz w:val="19"/>
        </w:rPr>
        <w:t xml:space="preserve"> Postgres append-only triggers preventing row mutation or deletion even by database superusers.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1F5F9"/>
            <w:tcMar>
              <w:top w:w="120" w:type="dxa"/>
              <w:bottom w:w="120" w:type="dxa"/>
              <w:left w:w="180" w:type="dxa"/>
              <w:right w:w="180" w:type="dxa"/>
            </w:tcMar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</w:tcPr>
          <w:p>
            <w:pPr>
              <w:spacing w:before="0" w:after="0" w:line="252" w:lineRule="auto"/>
            </w:pPr>
            <w:r>
              <w:rPr>
                <w:rFonts w:ascii="Consolas" w:hAnsi="Consolas"/>
                <w:b/>
                <w:color w:val="718096"/>
                <w:sz w:val="16"/>
              </w:rPr>
              <w:t>// Language: mermaid</w:t>
              <w:br/>
            </w:r>
            <w:r>
              <w:rPr>
                <w:rFonts w:ascii="Consolas" w:hAnsi="Consolas"/>
                <w:color w:val="1A202C"/>
                <w:sz w:val="17"/>
              </w:rPr>
              <w:t>[MERMAID ARCHITECTURE SPECIFICATION]</w:t>
              <w:br/>
              <w:t>flowchart LR</w:t>
              <w:br/>
              <w:t xml:space="preserve">    subgraph Event_Source ["Domain Action Event"]</w:t>
              <w:br/>
              <w:t xml:space="preserve">        ACT["User Action&lt;br/&gt;(e.g., Credit Approval)"]</w:t>
              <w:br/>
              <w:t xml:space="preserve">    end</w:t>
              <w:br/>
              <w:br/>
              <w:t xml:space="preserve">    subgraph Security_Context ["Spring Security Audit Interceptor"]</w:t>
              <w:br/>
              <w:t xml:space="preserve">        INTERCEPTOR["`AuditAspect` &amp; `AuditorAware`&lt;br/&gt;Extracts JWT Subject, Roles, IP, Client ID"]</w:t>
              <w:br/>
              <w:t xml:space="preserve">    end</w:t>
              <w:br/>
              <w:br/>
              <w:t xml:space="preserve">    subgraph Chain_Hasher ["Cryptographic Hashing Engine"]</w:t>
              <w:br/>
              <w:t xml:space="preserve">        HASH["HMAC-SHA256 Chaining&lt;br/&gt;$H_n = \text{HMAC}(H_{n-1} \parallel \text{Payload}, K_{\text{audit}})$"]</w:t>
              <w:br/>
              <w:t xml:space="preserve">    end</w:t>
              <w:br/>
              <w:br/>
              <w:t xml:space="preserve">    subgraph Storage ["Tamper-Resistant Storage"]</w:t>
              <w:br/>
              <w:t xml:space="preserve">        DB_AUDIT["PostgreSQL `ulms.audit_entry`&lt;br/&gt;(Append-Only, Rule `ON UPDATE DO INSTEAD NOTHING`)"]</w:t>
              <w:br/>
              <w:t xml:space="preserve">        WORM["MinIO WORM / S3 Object Lock&lt;br/&gt;(Immutable Parquet Archive)"]</w:t>
              <w:br/>
              <w:t xml:space="preserve">    end</w:t>
              <w:br/>
              <w:br/>
              <w:t xml:space="preserve">    ACT --&gt; INTERCEPTOR</w:t>
              <w:br/>
              <w:t xml:space="preserve">    INTERCEPTOR --&gt; HASH</w:t>
              <w:br/>
              <w:t xml:space="preserve">    HASH --&gt; DB_AUDIT</w:t>
              <w:br/>
              <w:t xml:space="preserve">    DB_AUDIT --&gt;|Nightly Flush| WORM</w:t>
            </w:r>
          </w:p>
        </w:tc>
      </w:tr>
    </w:tbl>
    <w:p>
      <w:pPr>
        <w:spacing w:before="40" w:after="80"/>
      </w:pPr>
    </w:p>
    <w:p>
      <w:pPr>
        <w:keepNext/>
        <w:spacing w:before="200" w:after="60"/>
      </w:pPr>
      <w:r>
        <w:rPr>
          <w:rFonts w:ascii="Segoe UI" w:hAnsi="Segoe UI"/>
          <w:b/>
          <w:color w:val="1A365D"/>
          <w:sz w:val="24"/>
        </w:rPr>
        <w:t>2. Audit Trail Schema Specification</w:t>
      </w:r>
    </w:p>
    <w:p>
      <w:pPr>
        <w:spacing w:before="0" w:after="80" w:line="276" w:lineRule="auto"/>
      </w:pPr>
      <w:r>
        <w:rPr>
          <w:rFonts w:ascii="Segoe UI" w:hAnsi="Segoe UI"/>
          <w:color w:val="2D3748"/>
          <w:sz w:val="19"/>
        </w:rPr>
        <w:t xml:space="preserve">The </w:t>
      </w:r>
      <w:r>
        <w:rPr>
          <w:rFonts w:ascii="Consolas" w:hAnsi="Consolas"/>
          <w:color w:val="801515"/>
          <w:sz w:val="18"/>
        </w:rPr>
        <w:t>ulms.audit_entry</w:t>
      </w:r>
      <w:r>
        <w:rPr>
          <w:rFonts w:ascii="Segoe UI" w:hAnsi="Segoe UI"/>
          <w:color w:val="2D3748"/>
          <w:sz w:val="19"/>
        </w:rPr>
        <w:t xml:space="preserve"> table (</w:t>
      </w:r>
      <w:r>
        <w:rPr>
          <w:rFonts w:ascii="Consolas" w:hAnsi="Consolas"/>
          <w:color w:val="801515"/>
          <w:sz w:val="18"/>
        </w:rPr>
        <w:t>V1__init.sql</w:t>
      </w:r>
      <w:r>
        <w:rPr>
          <w:rFonts w:ascii="Segoe UI" w:hAnsi="Segoe UI"/>
          <w:color w:val="2D3748"/>
          <w:sz w:val="19"/>
        </w:rPr>
        <w:t>) captures complete audit provenance: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tcW w:w="2340" w:type="dxa"/>
            <w:shd w:fill="003366"/>
            <w:tcMar>
              <w:top w:w="140" w:type="dxa"/>
              <w:bottom w:w="140" w:type="dxa"/>
              <w:left w:w="160" w:type="dxa"/>
              <w:right w:w="160" w:type="dxa"/>
            </w:tcMar>
            <w:tcBorders>
              <w:top w:val="single" w:sz="4" w:space="0" w:color="CBD5E0"/>
              <w:left w:val="single" w:sz="4" w:space="0" w:color="CBD5E0"/>
              <w:bottom w:val="single" w:sz="12" w:space="0" w:color="D4AF37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FFFFFF"/>
                <w:sz w:val="18"/>
              </w:rPr>
              <w:t>Column</w:t>
            </w:r>
          </w:p>
        </w:tc>
        <w:tc>
          <w:tcPr>
            <w:tcW w:type="dxa" w:w="2340"/>
            <w:tcW w:w="2340" w:type="dxa"/>
            <w:shd w:fill="003366"/>
            <w:tcMar>
              <w:top w:w="140" w:type="dxa"/>
              <w:bottom w:w="140" w:type="dxa"/>
              <w:left w:w="160" w:type="dxa"/>
              <w:right w:w="160" w:type="dxa"/>
            </w:tcMar>
            <w:tcBorders>
              <w:top w:val="single" w:sz="4" w:space="0" w:color="CBD5E0"/>
              <w:left w:val="single" w:sz="4" w:space="0" w:color="CBD5E0"/>
              <w:bottom w:val="single" w:sz="12" w:space="0" w:color="D4AF37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FFFFFF"/>
                <w:sz w:val="18"/>
              </w:rPr>
              <w:t>Type</w:t>
            </w:r>
          </w:p>
        </w:tc>
        <w:tc>
          <w:tcPr>
            <w:tcW w:type="dxa" w:w="2340"/>
            <w:tcW w:w="2340" w:type="dxa"/>
            <w:shd w:fill="003366"/>
            <w:tcMar>
              <w:top w:w="140" w:type="dxa"/>
              <w:bottom w:w="140" w:type="dxa"/>
              <w:left w:w="160" w:type="dxa"/>
              <w:right w:w="160" w:type="dxa"/>
            </w:tcMar>
            <w:tcBorders>
              <w:top w:val="single" w:sz="4" w:space="0" w:color="CBD5E0"/>
              <w:left w:val="single" w:sz="4" w:space="0" w:color="CBD5E0"/>
              <w:bottom w:val="single" w:sz="12" w:space="0" w:color="D4AF37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FFFFFF"/>
                <w:sz w:val="18"/>
              </w:rPr>
              <w:t>Nullable</w:t>
            </w:r>
          </w:p>
        </w:tc>
        <w:tc>
          <w:tcPr>
            <w:tcW w:type="dxa" w:w="2340"/>
            <w:tcW w:w="2340" w:type="dxa"/>
            <w:shd w:fill="003366"/>
            <w:tcMar>
              <w:top w:w="140" w:type="dxa"/>
              <w:bottom w:w="140" w:type="dxa"/>
              <w:left w:w="160" w:type="dxa"/>
              <w:right w:w="160" w:type="dxa"/>
            </w:tcMar>
            <w:tcBorders>
              <w:top w:val="single" w:sz="4" w:space="0" w:color="CBD5E0"/>
              <w:left w:val="single" w:sz="4" w:space="0" w:color="CBD5E0"/>
              <w:bottom w:val="single" w:sz="12" w:space="0" w:color="D4AF37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FFFFFF"/>
                <w:sz w:val="18"/>
              </w:rPr>
              <w:t>Description</w:t>
            </w:r>
          </w:p>
        </w:tc>
      </w:tr>
      <w:tr>
        <w:trPr>
          <w:cantSplit/>
        </w:trPr>
        <w:tc>
          <w:tcPr>
            <w:tcW w:type="dxa" w:w="2340"/>
            <w:tcW w:w="234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Consolas" w:hAnsi="Consolas"/>
                <w:color w:val="801515"/>
                <w:sz w:val="16"/>
              </w:rPr>
              <w:t>id</w:t>
            </w:r>
          </w:p>
        </w:tc>
        <w:tc>
          <w:tcPr>
            <w:tcW w:type="dxa" w:w="2340"/>
            <w:tcW w:w="234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Consolas" w:hAnsi="Consolas"/>
                <w:color w:val="801515"/>
                <w:sz w:val="16"/>
              </w:rPr>
              <w:t>BIGSERIAL</w:t>
            </w:r>
          </w:p>
        </w:tc>
        <w:tc>
          <w:tcPr>
            <w:tcW w:type="dxa" w:w="2340"/>
            <w:tcW w:w="234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NO</w:t>
            </w:r>
          </w:p>
        </w:tc>
        <w:tc>
          <w:tcPr>
            <w:tcW w:type="dxa" w:w="2340"/>
            <w:tcW w:w="234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Monotonically increasing primary key.</w:t>
            </w:r>
          </w:p>
        </w:tc>
      </w:tr>
      <w:tr>
        <w:trPr>
          <w:cantSplit/>
        </w:trPr>
        <w:tc>
          <w:tcPr>
            <w:tcW w:type="dxa" w:w="2340"/>
            <w:tcW w:w="234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Consolas" w:hAnsi="Consolas"/>
                <w:color w:val="801515"/>
                <w:sz w:val="16"/>
              </w:rPr>
              <w:t>event_id</w:t>
            </w:r>
          </w:p>
        </w:tc>
        <w:tc>
          <w:tcPr>
            <w:tcW w:type="dxa" w:w="2340"/>
            <w:tcW w:w="234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Consolas" w:hAnsi="Consolas"/>
                <w:color w:val="801515"/>
                <w:sz w:val="16"/>
              </w:rPr>
              <w:t>UUID</w:t>
            </w:r>
          </w:p>
        </w:tc>
        <w:tc>
          <w:tcPr>
            <w:tcW w:type="dxa" w:w="2340"/>
            <w:tcW w:w="234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NO</w:t>
            </w:r>
          </w:p>
        </w:tc>
        <w:tc>
          <w:tcPr>
            <w:tcW w:type="dxa" w:w="2340"/>
            <w:tcW w:w="234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Global unique identifier for event tracing.</w:t>
            </w:r>
          </w:p>
        </w:tc>
      </w:tr>
      <w:tr>
        <w:trPr>
          <w:cantSplit/>
        </w:trPr>
        <w:tc>
          <w:tcPr>
            <w:tcW w:type="dxa" w:w="2340"/>
            <w:tcW w:w="234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Consolas" w:hAnsi="Consolas"/>
                <w:color w:val="801515"/>
                <w:sz w:val="16"/>
              </w:rPr>
              <w:t>occurred_at</w:t>
            </w:r>
          </w:p>
        </w:tc>
        <w:tc>
          <w:tcPr>
            <w:tcW w:type="dxa" w:w="2340"/>
            <w:tcW w:w="234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Consolas" w:hAnsi="Consolas"/>
                <w:color w:val="801515"/>
                <w:sz w:val="16"/>
              </w:rPr>
              <w:t>TIMESTAMPTZ</w:t>
            </w:r>
          </w:p>
        </w:tc>
        <w:tc>
          <w:tcPr>
            <w:tcW w:type="dxa" w:w="2340"/>
            <w:tcW w:w="234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NO</w:t>
            </w:r>
          </w:p>
        </w:tc>
        <w:tc>
          <w:tcPr>
            <w:tcW w:type="dxa" w:w="2340"/>
            <w:tcW w:w="234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Hardware timestamp (synchronized via NTP to stratum-1).</w:t>
            </w:r>
          </w:p>
        </w:tc>
      </w:tr>
      <w:tr>
        <w:trPr>
          <w:cantSplit/>
        </w:trPr>
        <w:tc>
          <w:tcPr>
            <w:tcW w:type="dxa" w:w="2340"/>
            <w:tcW w:w="234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Consolas" w:hAnsi="Consolas"/>
                <w:color w:val="801515"/>
                <w:sz w:val="16"/>
              </w:rPr>
              <w:t>actor_id</w:t>
            </w:r>
          </w:p>
        </w:tc>
        <w:tc>
          <w:tcPr>
            <w:tcW w:type="dxa" w:w="2340"/>
            <w:tcW w:w="234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Consolas" w:hAnsi="Consolas"/>
                <w:color w:val="801515"/>
                <w:sz w:val="16"/>
              </w:rPr>
              <w:t>VARCHAR(100)</w:t>
            </w:r>
          </w:p>
        </w:tc>
        <w:tc>
          <w:tcPr>
            <w:tcW w:type="dxa" w:w="2340"/>
            <w:tcW w:w="234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NO</w:t>
            </w:r>
          </w:p>
        </w:tc>
        <w:tc>
          <w:tcPr>
            <w:tcW w:type="dxa" w:w="2340"/>
            <w:tcW w:w="234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Keycloak user subject ID (</w:t>
            </w:r>
            <w:r>
              <w:rPr>
                <w:rFonts w:ascii="Consolas" w:hAnsi="Consolas"/>
                <w:color w:val="801515"/>
                <w:sz w:val="16"/>
              </w:rPr>
              <w:t>sub</w:t>
            </w:r>
            <w:r>
              <w:rPr>
                <w:rFonts w:ascii="Segoe UI" w:hAnsi="Segoe UI"/>
                <w:color w:val="2D3748"/>
                <w:sz w:val="17"/>
              </w:rPr>
              <w:t>).</w:t>
            </w:r>
          </w:p>
        </w:tc>
      </w:tr>
      <w:tr>
        <w:trPr>
          <w:cantSplit/>
        </w:trPr>
        <w:tc>
          <w:tcPr>
            <w:tcW w:type="dxa" w:w="2340"/>
            <w:tcW w:w="234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Consolas" w:hAnsi="Consolas"/>
                <w:color w:val="801515"/>
                <w:sz w:val="16"/>
              </w:rPr>
              <w:t>actor_username</w:t>
            </w:r>
          </w:p>
        </w:tc>
        <w:tc>
          <w:tcPr>
            <w:tcW w:type="dxa" w:w="2340"/>
            <w:tcW w:w="234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Consolas" w:hAnsi="Consolas"/>
                <w:color w:val="801515"/>
                <w:sz w:val="16"/>
              </w:rPr>
              <w:t>VARCHAR(100)</w:t>
            </w:r>
          </w:p>
        </w:tc>
        <w:tc>
          <w:tcPr>
            <w:tcW w:type="dxa" w:w="2340"/>
            <w:tcW w:w="234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NO</w:t>
            </w:r>
          </w:p>
        </w:tc>
        <w:tc>
          <w:tcPr>
            <w:tcW w:type="dxa" w:w="2340"/>
            <w:tcW w:w="234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 xml:space="preserve">Staff username (e.g., </w:t>
            </w:r>
            <w:r>
              <w:rPr>
                <w:rFonts w:ascii="Consolas" w:hAnsi="Consolas"/>
                <w:color w:val="801515"/>
                <w:sz w:val="16"/>
              </w:rPr>
              <w:t>bm.motijheel</w:t>
            </w:r>
            <w:r>
              <w:rPr>
                <w:rFonts w:ascii="Segoe UI" w:hAnsi="Segoe UI"/>
                <w:color w:val="2D3748"/>
                <w:sz w:val="17"/>
              </w:rPr>
              <w:t>).</w:t>
            </w:r>
          </w:p>
        </w:tc>
      </w:tr>
      <w:tr>
        <w:trPr>
          <w:cantSplit/>
        </w:trPr>
        <w:tc>
          <w:tcPr>
            <w:tcW w:type="dxa" w:w="2340"/>
            <w:tcW w:w="234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Consolas" w:hAnsi="Consolas"/>
                <w:color w:val="801515"/>
                <w:sz w:val="16"/>
              </w:rPr>
              <w:t>actor_ip</w:t>
            </w:r>
          </w:p>
        </w:tc>
        <w:tc>
          <w:tcPr>
            <w:tcW w:type="dxa" w:w="2340"/>
            <w:tcW w:w="234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Consolas" w:hAnsi="Consolas"/>
                <w:color w:val="801515"/>
                <w:sz w:val="16"/>
              </w:rPr>
              <w:t>VARCHAR(45)</w:t>
            </w:r>
          </w:p>
        </w:tc>
        <w:tc>
          <w:tcPr>
            <w:tcW w:type="dxa" w:w="2340"/>
            <w:tcW w:w="234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NO</w:t>
            </w:r>
          </w:p>
        </w:tc>
        <w:tc>
          <w:tcPr>
            <w:tcW w:type="dxa" w:w="2340"/>
            <w:tcW w:w="234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 xml:space="preserve">IPv4/IPv6 client address from </w:t>
            </w:r>
            <w:r>
              <w:rPr>
                <w:rFonts w:ascii="Consolas" w:hAnsi="Consolas"/>
                <w:color w:val="801515"/>
                <w:sz w:val="16"/>
              </w:rPr>
              <w:t>X-Forwarded-For</w:t>
            </w:r>
            <w:r>
              <w:rPr>
                <w:rFonts w:ascii="Segoe UI" w:hAnsi="Segoe UI"/>
                <w:color w:val="2D3748"/>
                <w:sz w:val="17"/>
              </w:rPr>
              <w:t>.</w:t>
            </w:r>
          </w:p>
        </w:tc>
      </w:tr>
      <w:tr>
        <w:trPr>
          <w:cantSplit/>
        </w:trPr>
        <w:tc>
          <w:tcPr>
            <w:tcW w:type="dxa" w:w="2340"/>
            <w:tcW w:w="234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Consolas" w:hAnsi="Consolas"/>
                <w:color w:val="801515"/>
                <w:sz w:val="16"/>
              </w:rPr>
              <w:t>action</w:t>
            </w:r>
          </w:p>
        </w:tc>
        <w:tc>
          <w:tcPr>
            <w:tcW w:type="dxa" w:w="2340"/>
            <w:tcW w:w="234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Consolas" w:hAnsi="Consolas"/>
                <w:color w:val="801515"/>
                <w:sz w:val="16"/>
              </w:rPr>
              <w:t>VARCHAR(50)</w:t>
            </w:r>
          </w:p>
        </w:tc>
        <w:tc>
          <w:tcPr>
            <w:tcW w:type="dxa" w:w="2340"/>
            <w:tcW w:w="234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NO</w:t>
            </w:r>
          </w:p>
        </w:tc>
        <w:tc>
          <w:tcPr>
            <w:tcW w:type="dxa" w:w="2340"/>
            <w:tcW w:w="234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Consolas" w:hAnsi="Consolas"/>
                <w:color w:val="801515"/>
                <w:sz w:val="16"/>
              </w:rPr>
              <w:t>CREATE</w:t>
            </w:r>
            <w:r>
              <w:rPr>
                <w:rFonts w:ascii="Segoe UI" w:hAnsi="Segoe UI"/>
                <w:color w:val="2D3748"/>
                <w:sz w:val="17"/>
              </w:rPr>
              <w:t xml:space="preserve">, </w:t>
            </w:r>
            <w:r>
              <w:rPr>
                <w:rFonts w:ascii="Consolas" w:hAnsi="Consolas"/>
                <w:color w:val="801515"/>
                <w:sz w:val="16"/>
              </w:rPr>
              <w:t>UPDATE</w:t>
            </w:r>
            <w:r>
              <w:rPr>
                <w:rFonts w:ascii="Segoe UI" w:hAnsi="Segoe UI"/>
                <w:color w:val="2D3748"/>
                <w:sz w:val="17"/>
              </w:rPr>
              <w:t xml:space="preserve">, </w:t>
            </w:r>
            <w:r>
              <w:rPr>
                <w:rFonts w:ascii="Consolas" w:hAnsi="Consolas"/>
                <w:color w:val="801515"/>
                <w:sz w:val="16"/>
              </w:rPr>
              <w:t>APPROVE</w:t>
            </w:r>
            <w:r>
              <w:rPr>
                <w:rFonts w:ascii="Segoe UI" w:hAnsi="Segoe UI"/>
                <w:color w:val="2D3748"/>
                <w:sz w:val="17"/>
              </w:rPr>
              <w:t xml:space="preserve">, </w:t>
            </w:r>
            <w:r>
              <w:rPr>
                <w:rFonts w:ascii="Consolas" w:hAnsi="Consolas"/>
                <w:color w:val="801515"/>
                <w:sz w:val="16"/>
              </w:rPr>
              <w:t>REJECT</w:t>
            </w:r>
            <w:r>
              <w:rPr>
                <w:rFonts w:ascii="Segoe UI" w:hAnsi="Segoe UI"/>
                <w:color w:val="2D3748"/>
                <w:sz w:val="17"/>
              </w:rPr>
              <w:t xml:space="preserve">, </w:t>
            </w:r>
            <w:r>
              <w:rPr>
                <w:rFonts w:ascii="Consolas" w:hAnsi="Consolas"/>
                <w:color w:val="801515"/>
                <w:sz w:val="16"/>
              </w:rPr>
              <w:t>OVERRIDE</w:t>
            </w:r>
            <w:r>
              <w:rPr>
                <w:rFonts w:ascii="Segoe UI" w:hAnsi="Segoe UI"/>
                <w:color w:val="2D3748"/>
                <w:sz w:val="17"/>
              </w:rPr>
              <w:t xml:space="preserve">, </w:t>
            </w:r>
            <w:r>
              <w:rPr>
                <w:rFonts w:ascii="Consolas" w:hAnsi="Consolas"/>
                <w:color w:val="801515"/>
                <w:sz w:val="16"/>
              </w:rPr>
              <w:t>LOGIN</w:t>
            </w:r>
            <w:r>
              <w:rPr>
                <w:rFonts w:ascii="Segoe UI" w:hAnsi="Segoe UI"/>
                <w:color w:val="2D3748"/>
                <w:sz w:val="17"/>
              </w:rPr>
              <w:t>.</w:t>
            </w:r>
          </w:p>
        </w:tc>
      </w:tr>
      <w:tr>
        <w:trPr>
          <w:cantSplit/>
        </w:trPr>
        <w:tc>
          <w:tcPr>
            <w:tcW w:type="dxa" w:w="2340"/>
            <w:tcW w:w="234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Consolas" w:hAnsi="Consolas"/>
                <w:color w:val="801515"/>
                <w:sz w:val="16"/>
              </w:rPr>
              <w:t>entity_type</w:t>
            </w:r>
          </w:p>
        </w:tc>
        <w:tc>
          <w:tcPr>
            <w:tcW w:type="dxa" w:w="2340"/>
            <w:tcW w:w="234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Consolas" w:hAnsi="Consolas"/>
                <w:color w:val="801515"/>
                <w:sz w:val="16"/>
              </w:rPr>
              <w:t>VARCHAR(50)</w:t>
            </w:r>
          </w:p>
        </w:tc>
        <w:tc>
          <w:tcPr>
            <w:tcW w:type="dxa" w:w="2340"/>
            <w:tcW w:w="234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NO</w:t>
            </w:r>
          </w:p>
        </w:tc>
        <w:tc>
          <w:tcPr>
            <w:tcW w:type="dxa" w:w="2340"/>
            <w:tcW w:w="234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Consolas" w:hAnsi="Consolas"/>
                <w:color w:val="801515"/>
                <w:sz w:val="16"/>
              </w:rPr>
              <w:t>APPLICATION</w:t>
            </w:r>
            <w:r>
              <w:rPr>
                <w:rFonts w:ascii="Segoe UI" w:hAnsi="Segoe UI"/>
                <w:color w:val="2D3748"/>
                <w:sz w:val="17"/>
              </w:rPr>
              <w:t xml:space="preserve">, </w:t>
            </w:r>
            <w:r>
              <w:rPr>
                <w:rFonts w:ascii="Consolas" w:hAnsi="Consolas"/>
                <w:color w:val="801515"/>
                <w:sz w:val="16"/>
              </w:rPr>
              <w:t>LOAN</w:t>
            </w:r>
            <w:r>
              <w:rPr>
                <w:rFonts w:ascii="Segoe UI" w:hAnsi="Segoe UI"/>
                <w:color w:val="2D3748"/>
                <w:sz w:val="17"/>
              </w:rPr>
              <w:t xml:space="preserve">, </w:t>
            </w:r>
            <w:r>
              <w:rPr>
                <w:rFonts w:ascii="Consolas" w:hAnsi="Consolas"/>
                <w:color w:val="801515"/>
                <w:sz w:val="16"/>
              </w:rPr>
              <w:t>COLLATERAL</w:t>
            </w:r>
            <w:r>
              <w:rPr>
                <w:rFonts w:ascii="Segoe UI" w:hAnsi="Segoe UI"/>
                <w:color w:val="2D3748"/>
                <w:sz w:val="17"/>
              </w:rPr>
              <w:t xml:space="preserve">, </w:t>
            </w:r>
            <w:r>
              <w:rPr>
                <w:rFonts w:ascii="Consolas" w:hAnsi="Consolas"/>
                <w:color w:val="801515"/>
                <w:sz w:val="16"/>
              </w:rPr>
              <w:t>USER</w:t>
            </w:r>
            <w:r>
              <w:rPr>
                <w:rFonts w:ascii="Segoe UI" w:hAnsi="Segoe UI"/>
                <w:color w:val="2D3748"/>
                <w:sz w:val="17"/>
              </w:rPr>
              <w:t xml:space="preserve">, </w:t>
            </w:r>
            <w:r>
              <w:rPr>
                <w:rFonts w:ascii="Consolas" w:hAnsi="Consolas"/>
                <w:color w:val="801515"/>
                <w:sz w:val="16"/>
              </w:rPr>
              <w:t>PRODUCT</w:t>
            </w:r>
            <w:r>
              <w:rPr>
                <w:rFonts w:ascii="Segoe UI" w:hAnsi="Segoe UI"/>
                <w:color w:val="2D3748"/>
                <w:sz w:val="17"/>
              </w:rPr>
              <w:t>.</w:t>
            </w:r>
          </w:p>
        </w:tc>
      </w:tr>
      <w:tr>
        <w:trPr>
          <w:cantSplit/>
        </w:trPr>
        <w:tc>
          <w:tcPr>
            <w:tcW w:type="dxa" w:w="2340"/>
            <w:tcW w:w="234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Consolas" w:hAnsi="Consolas"/>
                <w:color w:val="801515"/>
                <w:sz w:val="16"/>
              </w:rPr>
              <w:t>entity_id</w:t>
            </w:r>
          </w:p>
        </w:tc>
        <w:tc>
          <w:tcPr>
            <w:tcW w:type="dxa" w:w="2340"/>
            <w:tcW w:w="234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Consolas" w:hAnsi="Consolas"/>
                <w:color w:val="801515"/>
                <w:sz w:val="16"/>
              </w:rPr>
              <w:t>VARCHAR(100)</w:t>
            </w:r>
          </w:p>
        </w:tc>
        <w:tc>
          <w:tcPr>
            <w:tcW w:type="dxa" w:w="2340"/>
            <w:tcW w:w="234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NO</w:t>
            </w:r>
          </w:p>
        </w:tc>
        <w:tc>
          <w:tcPr>
            <w:tcW w:type="dxa" w:w="2340"/>
            <w:tcW w:w="234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Identifier of the affected domain object.</w:t>
            </w:r>
          </w:p>
        </w:tc>
      </w:tr>
      <w:tr>
        <w:trPr>
          <w:cantSplit/>
        </w:trPr>
        <w:tc>
          <w:tcPr>
            <w:tcW w:type="dxa" w:w="2340"/>
            <w:tcW w:w="234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Consolas" w:hAnsi="Consolas"/>
                <w:color w:val="801515"/>
                <w:sz w:val="16"/>
              </w:rPr>
              <w:t>before_state</w:t>
            </w:r>
          </w:p>
        </w:tc>
        <w:tc>
          <w:tcPr>
            <w:tcW w:type="dxa" w:w="2340"/>
            <w:tcW w:w="234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Consolas" w:hAnsi="Consolas"/>
                <w:color w:val="801515"/>
                <w:sz w:val="16"/>
              </w:rPr>
              <w:t>JSONB</w:t>
            </w:r>
          </w:p>
        </w:tc>
        <w:tc>
          <w:tcPr>
            <w:tcW w:type="dxa" w:w="2340"/>
            <w:tcW w:w="234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YES</w:t>
            </w:r>
          </w:p>
        </w:tc>
        <w:tc>
          <w:tcPr>
            <w:tcW w:type="dxa" w:w="2340"/>
            <w:tcW w:w="234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Entity state prior to change (null for creation).</w:t>
            </w:r>
          </w:p>
        </w:tc>
      </w:tr>
      <w:tr>
        <w:trPr>
          <w:cantSplit/>
        </w:trPr>
        <w:tc>
          <w:tcPr>
            <w:tcW w:type="dxa" w:w="2340"/>
            <w:tcW w:w="234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Consolas" w:hAnsi="Consolas"/>
                <w:color w:val="801515"/>
                <w:sz w:val="16"/>
              </w:rPr>
              <w:t>after_state</w:t>
            </w:r>
          </w:p>
        </w:tc>
        <w:tc>
          <w:tcPr>
            <w:tcW w:type="dxa" w:w="2340"/>
            <w:tcW w:w="234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Consolas" w:hAnsi="Consolas"/>
                <w:color w:val="801515"/>
                <w:sz w:val="16"/>
              </w:rPr>
              <w:t>JSONB</w:t>
            </w:r>
          </w:p>
        </w:tc>
        <w:tc>
          <w:tcPr>
            <w:tcW w:type="dxa" w:w="2340"/>
            <w:tcW w:w="234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YES</w:t>
            </w:r>
          </w:p>
        </w:tc>
        <w:tc>
          <w:tcPr>
            <w:tcW w:type="dxa" w:w="2340"/>
            <w:tcW w:w="234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Entity state following change.</w:t>
            </w:r>
          </w:p>
        </w:tc>
      </w:tr>
      <w:tr>
        <w:trPr>
          <w:cantSplit/>
        </w:trPr>
        <w:tc>
          <w:tcPr>
            <w:tcW w:type="dxa" w:w="2340"/>
            <w:tcW w:w="234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Consolas" w:hAnsi="Consolas"/>
                <w:color w:val="801515"/>
                <w:sz w:val="16"/>
              </w:rPr>
              <w:t>prev digest (superseded — see addendum)</w:t>
            </w:r>
          </w:p>
        </w:tc>
        <w:tc>
          <w:tcPr>
            <w:tcW w:type="dxa" w:w="2340"/>
            <w:tcW w:w="234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Consolas" w:hAnsi="Consolas"/>
                <w:color w:val="801515"/>
                <w:sz w:val="16"/>
              </w:rPr>
              <w:t>VARCHAR(64)</w:t>
            </w:r>
          </w:p>
        </w:tc>
        <w:tc>
          <w:tcPr>
            <w:tcW w:type="dxa" w:w="2340"/>
            <w:tcW w:w="234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NO</w:t>
            </w:r>
          </w:p>
        </w:tc>
        <w:tc>
          <w:tcPr>
            <w:tcW w:type="dxa" w:w="2340"/>
            <w:tcW w:w="234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SHA-256 hash of the immediately preceding audit record.</w:t>
            </w:r>
          </w:p>
        </w:tc>
      </w:tr>
      <w:tr>
        <w:trPr>
          <w:cantSplit/>
        </w:trPr>
        <w:tc>
          <w:tcPr>
            <w:tcW w:type="dxa" w:w="2340"/>
            <w:tcW w:w="234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Consolas" w:hAnsi="Consolas"/>
                <w:color w:val="801515"/>
                <w:sz w:val="16"/>
              </w:rPr>
              <w:t>hash</w:t>
            </w:r>
          </w:p>
        </w:tc>
        <w:tc>
          <w:tcPr>
            <w:tcW w:type="dxa" w:w="2340"/>
            <w:tcW w:w="234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Consolas" w:hAnsi="Consolas"/>
                <w:color w:val="801515"/>
                <w:sz w:val="16"/>
              </w:rPr>
              <w:t>VARCHAR(64)</w:t>
            </w:r>
          </w:p>
        </w:tc>
        <w:tc>
          <w:tcPr>
            <w:tcW w:type="dxa" w:w="2340"/>
            <w:tcW w:w="234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NO</w:t>
            </w:r>
          </w:p>
        </w:tc>
        <w:tc>
          <w:tcPr>
            <w:tcW w:type="dxa" w:w="2340"/>
            <w:tcW w:w="234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 xml:space="preserve">HMAC-SHA256 signature of this record including </w:t>
            </w:r>
            <w:r>
              <w:rPr>
                <w:rFonts w:ascii="Consolas" w:hAnsi="Consolas"/>
                <w:color w:val="801515"/>
                <w:sz w:val="16"/>
              </w:rPr>
              <w:t>prev_hash</w:t>
            </w:r>
            <w:r>
              <w:rPr>
                <w:rFonts w:ascii="Segoe UI" w:hAnsi="Segoe UI"/>
                <w:color w:val="2D3748"/>
                <w:sz w:val="17"/>
              </w:rPr>
              <w:t>.</w:t>
            </w:r>
          </w:p>
        </w:tc>
      </w:tr>
    </w:tbl>
    <w:p>
      <w:pPr>
        <w:spacing w:before="80" w:after="80"/>
      </w:pPr>
    </w:p>
    <w:p>
      <w:pPr>
        <w:keepNext/>
        <w:spacing w:before="200" w:after="60"/>
      </w:pPr>
      <w:r>
        <w:rPr>
          <w:rFonts w:ascii="Segoe UI" w:hAnsi="Segoe UI"/>
          <w:b/>
          <w:color w:val="1A365D"/>
          <w:sz w:val="24"/>
        </w:rPr>
        <w:t>3. Cryptographic Verification &amp; Audit Integrity</w:t>
      </w:r>
    </w:p>
    <w:p>
      <w:pPr>
        <w:spacing w:before="0" w:after="80" w:line="276" w:lineRule="auto"/>
      </w:pPr>
      <w:r>
        <w:rPr>
          <w:rFonts w:ascii="Segoe UI" w:hAnsi="Segoe UI"/>
          <w:color w:val="2D3748"/>
          <w:sz w:val="19"/>
        </w:rPr>
        <w:t>As illustrated in Figure 3 below, Field-level before/after JSON diffs tracking credit limit overrides and approval sign-offs.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AFAFA"/>
            <w:tcMar>
              <w:top w:w="120" w:type="dxa"/>
              <w:bottom w:w="120" w:type="dxa"/>
              <w:left w:w="120" w:type="dxa"/>
              <w:right w:w="120" w:type="dxa"/>
            </w:tcMar>
            <w:tcBorders>
              <w:top w:val="single" w:sz="8" w:space="0" w:color="CBD5E0"/>
              <w:left w:val="single" w:sz="8" w:space="0" w:color="CBD5E0"/>
              <w:bottom w:val="single" w:sz="8" w:space="0" w:color="CBD5E0"/>
              <w:right w:val="single" w:sz="8" w:space="0" w:color="CBD5E0"/>
            </w:tcBorders>
          </w:tcPr>
          <w:p>
            <w:pPr>
              <w:spacing w:before="80"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669280" cy="354330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6_loan360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69280" cy="35433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keepNext/>
        <w:spacing w:before="60" w:after="20"/>
        <w:jc w:val="center"/>
      </w:pPr>
      <w:r>
        <w:rPr>
          <w:rFonts w:ascii="Segoe UI" w:hAnsi="Segoe UI"/>
          <w:b/>
          <w:color w:val="003366"/>
          <w:sz w:val="18"/>
        </w:rPr>
        <w:t>Figure 3: Loan Account 360 Full Lifecycle Audit History &amp; Diffs</w:t>
      </w:r>
    </w:p>
    <w:p>
      <w:pPr>
        <w:spacing w:before="0" w:after="160"/>
        <w:jc w:val="center"/>
      </w:pPr>
      <w:r>
        <w:rPr>
          <w:rFonts w:ascii="Segoe UI" w:hAnsi="Segoe UI"/>
          <w:i/>
          <w:color w:val="718096"/>
          <w:sz w:val="16"/>
        </w:rPr>
        <w:t>Field-level before/after JSON diffs tracking credit limit overrides and approval sign-offs.</w:t>
      </w:r>
    </w:p>
    <w:p>
      <w:pPr>
        <w:keepNext/>
        <w:spacing w:before="160" w:after="40"/>
      </w:pPr>
      <w:r>
        <w:rPr>
          <w:rFonts w:ascii="Segoe UI" w:hAnsi="Segoe UI"/>
          <w:b/>
          <w:color w:val="2B6CB0"/>
          <w:sz w:val="21"/>
        </w:rPr>
        <w:t>3.1 Tamper-Detection Algorithm</w:t>
      </w:r>
    </w:p>
    <w:p>
      <w:pPr>
        <w:spacing w:before="0" w:after="80" w:line="276" w:lineRule="auto"/>
      </w:pPr>
      <w:r>
        <w:rPr>
          <w:rFonts w:ascii="Segoe UI" w:hAnsi="Segoe UI"/>
          <w:color w:val="2D3748"/>
          <w:sz w:val="19"/>
        </w:rPr>
        <w:t>An automated daily cron job audits the chain integrity: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1F5F9"/>
            <w:tcMar>
              <w:top w:w="120" w:type="dxa"/>
              <w:bottom w:w="120" w:type="dxa"/>
              <w:left w:w="180" w:type="dxa"/>
              <w:right w:w="180" w:type="dxa"/>
            </w:tcMar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</w:tcPr>
          <w:p>
            <w:pPr>
              <w:spacing w:before="0" w:after="0" w:line="252" w:lineRule="auto"/>
            </w:pPr>
            <w:r>
              <w:rPr>
                <w:rFonts w:ascii="Consolas" w:hAnsi="Consolas"/>
                <w:b/>
                <w:color w:val="718096"/>
                <w:sz w:val="16"/>
              </w:rPr>
              <w:t>// Language: sql</w:t>
              <w:br/>
            </w:r>
            <w:r>
              <w:rPr>
                <w:rFonts w:ascii="Consolas" w:hAnsi="Consolas"/>
                <w:color w:val="1A202C"/>
                <w:sz w:val="17"/>
              </w:rPr>
              <w:t>-- Detect any broken link in the HMAC-SHA256 hash chain</w:t>
              <w:br/>
              <w:t>WITH RankedAudit AS (</w:t>
              <w:br/>
              <w:t xml:space="preserve">    SELECT id, hash,</w:t>
              <w:br/>
              <w:t xml:space="preserve">           LAG(hash, 1) OVER (ORDER BY id) as expected_prev_hash</w:t>
              <w:br/>
              <w:t xml:space="preserve">    FROM ulms.audit_entry</w:t>
              <w:br/>
              <w:t>)</w:t>
              <w:br/>
              <w:t xml:space="preserve">SELECT * FROM RankedAudit </w:t>
              <w:br/>
              <w:t>WHERE hash != expected_prev_hash AND expected_prev_hash IS NOT NULL;</w:t>
            </w:r>
          </w:p>
        </w:tc>
      </w:tr>
    </w:tbl>
    <w:p>
      <w:pPr>
        <w:spacing w:before="40" w:after="80"/>
      </w:pPr>
    </w:p>
    <w:p>
      <w:pPr>
        <w:spacing w:before="0" w:after="80" w:line="276" w:lineRule="auto"/>
      </w:pPr>
      <w:r>
        <w:rPr>
          <w:rFonts w:ascii="Segoe UI" w:hAnsi="Segoe UI"/>
          <w:color w:val="2D3748"/>
          <w:sz w:val="19"/>
        </w:rPr>
        <w:t>If any row has been modified, deleted, or inserted out of order, the query returns immediate discrepancies, triggering an automated critical SRE alert.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AFAFA"/>
            <w:tcMar>
              <w:top w:w="120" w:type="dxa"/>
              <w:bottom w:w="120" w:type="dxa"/>
              <w:left w:w="120" w:type="dxa"/>
              <w:right w:w="120" w:type="dxa"/>
            </w:tcMar>
            <w:tcBorders>
              <w:top w:val="single" w:sz="8" w:space="0" w:color="CBD5E0"/>
              <w:left w:val="single" w:sz="8" w:space="0" w:color="CBD5E0"/>
              <w:bottom w:val="single" w:sz="8" w:space="0" w:color="CBD5E0"/>
              <w:right w:val="single" w:sz="8" w:space="0" w:color="CBD5E0"/>
            </w:tcBorders>
          </w:tcPr>
          <w:p>
            <w:pPr>
              <w:spacing w:before="80"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669280" cy="3188970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00_staff_login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69280" cy="318897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keepNext/>
        <w:spacing w:before="60" w:after="20"/>
        <w:jc w:val="center"/>
      </w:pPr>
      <w:r>
        <w:rPr>
          <w:rFonts w:ascii="Segoe UI" w:hAnsi="Segoe UI"/>
          <w:b/>
          <w:color w:val="003366"/>
          <w:sz w:val="18"/>
        </w:rPr>
        <w:t>Figure 2: Enterprise Authentication &amp; Non-Repudiation Session Capture</w:t>
      </w:r>
    </w:p>
    <w:p>
      <w:pPr>
        <w:spacing w:before="0" w:after="160"/>
        <w:jc w:val="center"/>
      </w:pPr>
      <w:r>
        <w:rPr>
          <w:rFonts w:ascii="Segoe UI" w:hAnsi="Segoe UI"/>
          <w:i/>
          <w:color w:val="718096"/>
          <w:sz w:val="16"/>
        </w:rPr>
        <w:t>Keycloak 26 session bindings capturing client IP, user-agent, and digital signature headers.</w:t>
      </w:r>
    </w:p>
    <w:p>
      <w:r>
        <w:rPr>
          <w:b/>
        </w:rPr>
        <w:t>Addendum — v3.1.0 corrections (Independent Forensic Re-audit, 8 October 2026)</w:t>
      </w:r>
    </w:p>
    <w:p>
      <w:r>
        <w:t>Chain definition unified (v3.1.0): the authoritative record hash is SHA-256 chained over the previous entry's hash and the canonical payload (single definition — see ARCH-04's audit_entry DDL: id, actor, action, aggregate, aggregate_id, payload JSONB, hash, at, request_id). The earlier HMAC-SHA256 formulation was a draft variant and is superseded.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80"/>
      <w:jc w:val="right"/>
    </w:pPr>
    <w:r>
      <w:rPr>
        <w:rFonts w:ascii="Segoe UI" w:hAnsi="Segoe UI"/>
        <w:color w:val="718096"/>
        <w:sz w:val="17"/>
      </w:rPr>
      <w:t xml:space="preserve">Unisoft Systems Limited · Institutional Banking Asset         </w:t>
    </w:r>
    <w:r>
      <w:rPr>
        <w:rFonts w:ascii="Segoe UI" w:hAnsi="Segoe UI"/>
        <w:color w:val="2D3748"/>
        <w:sz w:val="17"/>
      </w:rPr>
      <w:t xml:space="preserve">Page </w:t>
      <w:fldChar w:fldCharType="begin"/>
      <w:instrText xml:space="preserve"> PAGE </w:instrText>
      <w:fldChar w:fldCharType="separate"/>
      <w:fldChar w:fldCharType="end"/>
    </w:r>
    <w:r>
      <w:rPr>
        <w:rFonts w:ascii="Segoe UI" w:hAnsi="Segoe UI"/>
        <w:color w:val="2D3748"/>
        <w:sz w:val="17"/>
      </w:rPr>
      <w:t xml:space="preserve"> of </w:t>
      <w:fldChar w:fldCharType="begin"/>
      <w:instrText xml:space="preserve"> NUMPAGES 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80"/>
      <w:jc w:val="right"/>
    </w:pPr>
    <w:r>
      <w:rPr>
        <w:rFonts w:ascii="Segoe UI" w:hAnsi="Segoe UI"/>
        <w:color w:val="718096"/>
        <w:sz w:val="17"/>
      </w:rPr>
      <w:t xml:space="preserve">ULMS v2.0 · DOC-01-ARCH-07  |  </w:t>
    </w:r>
    <w:r>
      <w:rPr>
        <w:rFonts w:ascii="Segoe UI" w:hAnsi="Segoe UI"/>
        <w:b/>
        <w:color w:val="C53030"/>
        <w:sz w:val="17"/>
      </w:rPr>
      <w:t>RESTRICTED — BANK CONFIDENTIAL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