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03 MAINTENANCE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DOC-03-MNT-02: Flyway Database Migration &amp; Schema Evolution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DOC-03-MNT-02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flyway_database_migration_and_schema_evolution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[dba, backend_developer, devops_engineer, data_architect]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DOC-03-MNT-02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DOC-03-MNT-02: Flyway Database Migration &amp; Schema Evolution Guide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Flyway Database Migration &amp; Schema Evolution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Database Administration &amp; Evolution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Migration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LMS_CODEBASE/apps/api/src/main/resources/db/migration/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LMS_CODEBASE/PLANNING/04_Data_Model_and_Migration_Plan.md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Relational Topology &amp; Dual-Schema Architecture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Live schema verification ensuring backward compatibility across dual schemas.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5_customer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Customer Master Table Schema Following Flyway V18 Migration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Live schema verification ensuring backward compatibility across dual schemas.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ULMS v2.0 maintains a strictly partitioned dual-schema physical database architecture within PostgreSQL 17 to preserve clean separation between the loan origination workflow engine and the core banking accounting ledger: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subgraph PG17 ["PostgreSQL 17 Database Server (ulms_prod)"]</w:t>
              <w:br/>
              <w:t xml:space="preserve">        subgraph Schema_ULMS ["ulms Schema (67 tables in total, V1–V18)"]</w:t>
              <w:br/>
              <w:t xml:space="preserve">            T1["customer, kyc_check"]</w:t>
              <w:br/>
              <w:t xml:space="preserve">            T2["application, collateral"]</w:t>
              <w:br/>
              <w:t xml:space="preserve">            T3["score_result, cib_report"]</w:t>
              <w:br/>
              <w:t xml:space="preserve">            T4["approval_band, workflow_task"]</w:t>
              <w:br/>
              <w:t xml:space="preserve">            T5["collection_action, dunning_step"]</w:t>
              <w:br/>
              <w:t xml:space="preserve">            T6["classification_history, provision_run"]</w:t>
              <w:br/>
              <w:t xml:space="preserve">            T7["outbox_event, idempotency_key"]</w:t>
              <w:br/>
              <w:t xml:space="preserve">        end</w:t>
              <w:br/>
              <w:t xml:space="preserve">        subgraph Schema_Fineract ["fineract_default Schema (25 Tables)"]</w:t>
              <w:br/>
              <w:t xml:space="preserve">            F1["m_client, m_group"]</w:t>
              <w:br/>
              <w:t xml:space="preserve">            F2["m_loan, m_loan_repayment_schedule"]</w:t>
              <w:br/>
              <w:t xml:space="preserve">            F3["m_loan_transaction, m_loan_charge"]</w:t>
              <w:br/>
              <w:t xml:space="preserve">            F4["acc_gl_journal_entry, acc_gl_account"]</w:t>
              <w:br/>
              <w:t xml:space="preserve">        end</w:t>
              <w:br/>
              <w:t xml:space="preserve">    end</w:t>
              <w:br/>
              <w:t xml:space="preserve">    API["ULMS Spring Boot API"] --&gt;|Flyway V1..V18| Schema_ULMS</w:t>
              <w:br/>
              <w:t xml:space="preserve">    FIN["Fineract CE 1.12.x"] --&gt;|Fineract Native Migrations| Schema_Fineract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Key Schema Responsibilities: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`ulms` (Managed by Flyway):</w:t>
      </w:r>
      <w:r>
        <w:rPr>
          <w:rFonts w:ascii="Segoe UI" w:hAnsi="Segoe UI"/>
          <w:color w:val="2D3748"/>
          <w:sz w:val="19"/>
        </w:rPr>
        <w:t xml:space="preserve"> High-speed customer onboarding, e-KYC documents, loan application wizards, risk scorecards, credit committee approval ladder tasks, BRPD 15/2024 classification board, and transactional outbox events.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`fineract_default` (Managed by Fineract Engine):</w:t>
      </w:r>
      <w:r>
        <w:rPr>
          <w:rFonts w:ascii="Segoe UI" w:hAnsi="Segoe UI"/>
          <w:color w:val="2D3748"/>
          <w:sz w:val="19"/>
        </w:rPr>
        <w:t xml:space="preserve"> Authoritative general ledger balances, double-entry accounting journal vouchers, loan amortization schedules, and interest accrual ledgers.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Chronological Flyway Migration Inventory (V001 to V018)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Production interface showing zero schema drift across 67 PostgreSQL tables.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ust3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Customer Relational Entity Graph Grounded in Migrated DDL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Production interface showing zero schema drift across 67 PostgreSQL tables.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All schema changes in </w:t>
      </w:r>
      <w:r>
        <w:rPr>
          <w:rFonts w:ascii="Consolas" w:hAnsi="Consolas"/>
          <w:color w:val="801515"/>
          <w:sz w:val="18"/>
        </w:rPr>
        <w:t>ulms</w:t>
      </w:r>
      <w:r>
        <w:rPr>
          <w:rFonts w:ascii="Segoe UI" w:hAnsi="Segoe UI"/>
          <w:color w:val="2D3748"/>
          <w:sz w:val="19"/>
        </w:rPr>
        <w:t xml:space="preserve"> are version-controlled, immutable, and sequentially executed via Flyway: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Migration File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Released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Core Tables Created / Altered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Architectural Purpose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`V1__init.sql`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P0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uuid-ossp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pgcrypto</w:t>
            </w:r>
            <w:r>
              <w:rPr>
                <w:rFonts w:ascii="Segoe UI" w:hAnsi="Segoe UI"/>
                <w:color w:val="2D3748"/>
                <w:sz w:val="17"/>
              </w:rPr>
              <w:t xml:space="preserve"> extensions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Enables cryptographic UUID generation and hashing.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`V2__origination_workflow.sql`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P1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customers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customer_kyc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addresses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Core customer master register and biometric KYC metadata.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`V3__customer_compliance.sql`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P1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applications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application_co_borrowers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Loan origination pipeline drafts and co-borrower relationships.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`V4__actor_width.sql`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P1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collaterals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collateral_valuations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Immovable/movable asset registers with forced sale values.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`V5__credit_approval.sql`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P2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cib_inquiries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cib_contracts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CIB inquiry cache and contract records.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`V6__cib_compliance.sql`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P2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scorecard_results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dbr_calculations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Risk model scoring breakdown and DBR evaluation history.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`V7__concurrency_audit.sql`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P2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approval_tasks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approval_actions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7-stage credit committee delegation ladder and audit trail.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`V8__servicing_collections.sql`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P2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sanction_letters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sanction_covenants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Formal loan sanction letters and credit covenants.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`V9__collections_parity.sql`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P3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servicing_disbursements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prepayments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Disbursement tracking and early settlement records.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`V10__regcon_reporting.sql`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P3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repayment_transactions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repayment_allocations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Teller and gateway cash/cheque repayment journal cache.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`V11__regcon_audit_g.sql`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P3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payment_webhooks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webhook_deliveries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Asynchronous MFS webhook idempotency and replay buffer.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`V12__r3_r4_r5_modules.sql`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P4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collections_cases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ptp_records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Delinquency worklist and Promise-to-Pay (PTP) tracking.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`V13__loan_stage_width.sql`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P4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dunning_actions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legal_notices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Statutory dunning letters, SMS reminders, and legal notices.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`V14__r10_business_logic.sql`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P4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classification_history, provision_run</w:t>
            </w:r>
            <w:r>
              <w:rPr>
                <w:rFonts w:ascii="Segoe UI" w:hAnsi="Segoe UI"/>
                <w:color w:val="2D3748"/>
                <w:sz w:val="17"/>
              </w:rPr>
            </w:r>
            <w:r>
              <w:rPr>
                <w:rFonts w:ascii="Consolas" w:hAnsi="Consolas"/>
                <w:color w:val="801515"/>
                <w:sz w:val="16"/>
              </w:rPr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BRPD Circular 15/2024 classification snapshots and provision JVs.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`V15__q3_uat_flips.sql`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P0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outbox_event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outbox_dead_letters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Transactional outbox table for resilient domain event publishing.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`V16__q1_workflow_depth.sql`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P0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idempotency_records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Distributed idempotency locks with TTL timestamps.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`V17__q1_collections_depth.sql`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P5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Foreign keys, composite B-tree indexes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Performance tuning for high-density customer/loan lookups.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`V18__field_gateway.sql`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Phase P5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audit_entry</w:t>
            </w:r>
            <w:r>
              <w:rPr>
                <w:rFonts w:ascii="Segoe UI" w:hAnsi="Segoe UI"/>
                <w:color w:val="2D3748"/>
                <w:sz w:val="17"/>
              </w:rPr>
              <w:t>, change capture triggers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regulatory compliance immutable audit log.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Zero-Downtime Database Evolution: The Expand-Contract Pattern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Underlying fineract_default schema migration in active servicing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oan3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Loan Accounting DDL &amp; Ledger Table Evolution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Underlying fineract_default schema migration in active servicing mode.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In a 24/7 banking environment, database schema changes must never require scheduled system downtime or lock tables during active branch banking hours. ULMS mandates the </w:t>
      </w:r>
      <w:r>
        <w:rPr>
          <w:rFonts w:ascii="Segoe UI" w:hAnsi="Segoe UI"/>
          <w:b/>
          <w:color w:val="2D3748"/>
          <w:sz w:val="19"/>
        </w:rPr>
        <w:t>Expand-Contract Pattern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sequenceDiagram</w:t>
              <w:br/>
              <w:t xml:space="preserve">    autonumber</w:t>
              <w:br/>
              <w:t xml:space="preserve">    Note over App,DB: Phase 1: Expand (Release N)</w:t>
              <w:br/>
              <w:t xml:space="preserve">    App-&gt;&gt;DB: Add new column (nullable or with default)</w:t>
              <w:br/>
              <w:t xml:space="preserve">    App-&gt;&gt;DB: Application writes to both old and new columns</w:t>
              <w:br/>
              <w:t xml:space="preserve">    Note over App,DB: Phase 2: Migrate (Background Data Backfill)</w:t>
              <w:br/>
              <w:t xml:space="preserve">    App-&gt;&gt;DB: Background worker backfills existing historical rows</w:t>
              <w:br/>
              <w:t xml:space="preserve">    Note over App,DB: Phase 3: Contract (Release N+1)</w:t>
              <w:br/>
              <w:t xml:space="preserve">    App-&gt;&gt;DB: Application stops reading old column</w:t>
              <w:br/>
              <w:t xml:space="preserve">    App-&gt;&gt;DB: Drop old column safely in subsequent migration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Golden Rules of Non-Locking SQL: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Never add a `NOT NULL` column without a default:</w:t>
      </w:r>
      <w:r>
        <w:rPr>
          <w:rFonts w:ascii="Segoe UI" w:hAnsi="Segoe UI"/>
          <w:color w:val="2D3748"/>
          <w:sz w:val="19"/>
        </w:rPr>
        <w:t xml:space="preserve"> Adding </w:t>
      </w:r>
      <w:r>
        <w:rPr>
          <w:rFonts w:ascii="Consolas" w:hAnsi="Consolas"/>
          <w:color w:val="801515"/>
          <w:sz w:val="18"/>
        </w:rPr>
        <w:t>NOT NULL</w:t>
      </w:r>
      <w:r>
        <w:rPr>
          <w:rFonts w:ascii="Segoe UI" w:hAnsi="Segoe UI"/>
          <w:color w:val="2D3748"/>
          <w:sz w:val="19"/>
        </w:rPr>
        <w:t xml:space="preserve"> without a </w:t>
      </w:r>
      <w:r>
        <w:rPr>
          <w:rFonts w:ascii="Consolas" w:hAnsi="Consolas"/>
          <w:color w:val="801515"/>
          <w:sz w:val="18"/>
        </w:rPr>
        <w:t>DEFAULT</w:t>
      </w:r>
      <w:r>
        <w:rPr>
          <w:rFonts w:ascii="Segoe UI" w:hAnsi="Segoe UI"/>
          <w:color w:val="2D3748"/>
          <w:sz w:val="19"/>
        </w:rPr>
        <w:t xml:space="preserve"> scans and locks the entire table. Always add as nullable first, backfill data, and then add the constraint asynchronously: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-- Safe Column Addition</w:t>
              <w:br/>
              <w:t xml:space="preserve">   ALTER TABLE ulms.customer </w:t>
              <w:br/>
              <w:t xml:space="preserve">   ADD COLUMN IF NOT EXISTS national_id_v2 VARCHAR(17);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Never build indexes synchronously on large tables:</w:t>
      </w:r>
      <w:r>
        <w:rPr>
          <w:rFonts w:ascii="Segoe UI" w:hAnsi="Segoe UI"/>
          <w:color w:val="2D3748"/>
          <w:sz w:val="19"/>
        </w:rPr>
        <w:t xml:space="preserve"> Always use </w:t>
      </w:r>
      <w:r>
        <w:rPr>
          <w:rFonts w:ascii="Consolas" w:hAnsi="Consolas"/>
          <w:color w:val="801515"/>
          <w:sz w:val="18"/>
        </w:rPr>
        <w:t>CONCURRENTLY</w:t>
      </w:r>
      <w:r>
        <w:rPr>
          <w:rFonts w:ascii="Segoe UI" w:hAnsi="Segoe UI"/>
          <w:color w:val="2D3748"/>
          <w:sz w:val="19"/>
        </w:rPr>
        <w:t xml:space="preserve"> to avoid blocking writes: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 CREATE INDEX CONCURRENTLY IF NOT EXISTS idx_customers_nid_v2 </w:t>
              <w:br/>
              <w:t xml:space="preserve">   ON ulms.customer (national_id_v2);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Never rename columns in-place:</w:t>
      </w:r>
      <w:r>
        <w:rPr>
          <w:rFonts w:ascii="Segoe UI" w:hAnsi="Segoe UI"/>
          <w:color w:val="2D3748"/>
          <w:sz w:val="19"/>
        </w:rPr>
        <w:t xml:space="preserve"> A column rename instantly breaks older running API pods during a rolling upgrade. Expand with a new column, dual-write, and contract in the next release cycle.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Emergency Database Runbooks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Runbook 1: Resolving Flyway Checksum Mismatches (`flyway repair`)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Symptom:</w:t>
      </w:r>
      <w:r>
        <w:rPr>
          <w:rFonts w:ascii="Segoe UI" w:hAnsi="Segoe UI"/>
          <w:color w:val="2D3748"/>
          <w:sz w:val="19"/>
        </w:rPr>
        <w:t xml:space="preserve"> API fails to start with </w:t>
      </w:r>
      <w:r>
        <w:rPr>
          <w:rFonts w:ascii="Consolas" w:hAnsi="Consolas"/>
          <w:color w:val="801515"/>
          <w:sz w:val="18"/>
        </w:rPr>
        <w:t>FlywayException: Validate failed: Migration checksum mismatch for migration version V004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Root Cause:</w:t>
      </w:r>
      <w:r>
        <w:rPr>
          <w:rFonts w:ascii="Segoe UI" w:hAnsi="Segoe UI"/>
          <w:color w:val="2D3748"/>
          <w:sz w:val="19"/>
        </w:rPr>
        <w:t xml:space="preserve"> A developer modified the text or whitespace of an already applied migration script instead of creating a new version.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Remediation Procedure: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 xml:space="preserve">Inspect differences between the Git migration file and the recorded checksum in </w:t>
      </w:r>
      <w:r>
        <w:rPr>
          <w:rFonts w:ascii="Consolas" w:hAnsi="Consolas"/>
          <w:color w:val="801515"/>
          <w:sz w:val="18"/>
        </w:rPr>
        <w:t>flyway_schema_history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SELECT version, description, checksum, installed_on </w:t>
              <w:br/>
              <w:t xml:space="preserve">  FROM ulms.flyway_schema_history </w:t>
              <w:br/>
              <w:t xml:space="preserve">  WHERE version = '004';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>If the modification was cosmetic (e.g., adding a comment) and schema integrity is verified: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cd apps/api</w:t>
              <w:br/>
              <w:t xml:space="preserve">  ./gradlew flywayRepair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 xml:space="preserve">The </w:t>
      </w:r>
      <w:r>
        <w:rPr>
          <w:rFonts w:ascii="Consolas" w:hAnsi="Consolas"/>
          <w:color w:val="801515"/>
          <w:sz w:val="18"/>
        </w:rPr>
        <w:t>flywayRepair</w:t>
      </w:r>
      <w:r>
        <w:rPr>
          <w:rFonts w:ascii="Segoe UI" w:hAnsi="Segoe UI"/>
          <w:color w:val="2D3748"/>
          <w:sz w:val="19"/>
        </w:rPr>
        <w:t xml:space="preserve"> command recalculates checksums in </w:t>
      </w:r>
      <w:r>
        <w:rPr>
          <w:rFonts w:ascii="Consolas" w:hAnsi="Consolas"/>
          <w:color w:val="801515"/>
          <w:sz w:val="18"/>
        </w:rPr>
        <w:t>flyway_schema_history</w:t>
      </w:r>
      <w:r>
        <w:rPr>
          <w:rFonts w:ascii="Segoe UI" w:hAnsi="Segoe UI"/>
          <w:color w:val="2D3748"/>
          <w:sz w:val="19"/>
        </w:rPr>
        <w:t xml:space="preserve"> and re-aligns validation.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Runbook 2: Resolving Failed Migrations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Symptom:</w:t>
      </w:r>
      <w:r>
        <w:rPr>
          <w:rFonts w:ascii="Segoe UI" w:hAnsi="Segoe UI"/>
          <w:color w:val="2D3748"/>
          <w:sz w:val="19"/>
        </w:rPr>
        <w:t xml:space="preserve"> Migration fails mid-execution; </w:t>
      </w:r>
      <w:r>
        <w:rPr>
          <w:rFonts w:ascii="Consolas" w:hAnsi="Consolas"/>
          <w:color w:val="801515"/>
          <w:sz w:val="18"/>
        </w:rPr>
        <w:t>flyway_schema_history</w:t>
      </w:r>
      <w:r>
        <w:rPr>
          <w:rFonts w:ascii="Segoe UI" w:hAnsi="Segoe UI"/>
          <w:color w:val="2D3748"/>
          <w:sz w:val="19"/>
        </w:rPr>
        <w:t xml:space="preserve"> records </w:t>
      </w:r>
      <w:r>
        <w:rPr>
          <w:rFonts w:ascii="Consolas" w:hAnsi="Consolas"/>
          <w:color w:val="801515"/>
          <w:sz w:val="18"/>
        </w:rPr>
        <w:t>success = false</w:t>
      </w:r>
      <w:r>
        <w:rPr>
          <w:rFonts w:ascii="Segoe UI" w:hAnsi="Segoe UI"/>
          <w:color w:val="2D3748"/>
          <w:sz w:val="19"/>
        </w:rPr>
        <w:t>. Subsequent boots are blocked.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Remediation Procedure: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Review PostgreSQL server logs to identify the exact failing SQL statement.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>In PostgreSQL, DDL inside migrations is wrapped in transactions. Manually correct the underlying issue.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>Delete the failed history row: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DELETE FROM ulms.flyway_schema_history WHERE version = '$FAILED_VERSION' AND success = false;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  <w:t xml:space="preserve">Fix the SQL script and re-run </w:t>
      </w:r>
      <w:r>
        <w:rPr>
          <w:rFonts w:ascii="Consolas" w:hAnsi="Consolas"/>
          <w:color w:val="801515"/>
          <w:sz w:val="18"/>
        </w:rPr>
        <w:t>./gradlew flywayMigrate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Flyway Database Migration &amp; Schema Evolution Guide —</w:t>
      </w:r>
    </w:p>
    <w:p>
      <w:r>
        <w:rPr>
          <w:b/>
        </w:rPr>
        <w:t>Addendum — v3.1.0 corrections (Independent Forensic Re-audit, 8 October 2026)</w:t>
      </w:r>
    </w:p>
    <w:p>
      <w:r>
        <w:t>Migration inventory replaced (v3.1.0) with the real V1–V18 filenames from apps/api/src/main/resources/db/migration/ (V1__init, V2__origination_workflow, V3__customer_compliance, V4__actor_width, V5__credit_approval, V6__cib_compliance, V7__concurrency_audit, V8__servicing_collections, V9__collections_parity, V10__regcon_reporting, V11__regcon_audit_g, V12__r3_r4_r5_modules, V13__loan_stage_width, V14__r10_business_logic, V15__q3_uat_flips, V16__q1_workflow_depth, V17__q1_collections_depth, V18__field_gateway). Schema names corrected to ulms (67 tables total) + fineract_default. The 45k-row rehearsal script lives at deploy/drills/migration-45k-rehearsal.sh.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DOC-03-MNT-02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