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DOC-03-MNT-04: Apache Fineract CE (digest-pinned) Patching, Maintenance &amp; Database Pruning Runbook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DOC-03-MNT-04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fineract_patching_maintenance_pruning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[backend_engineer, dba, release_manager]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DOC-03-MNT-04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DOC-03-MNT-04: Apache Fineract CE (digest-pinned) Patching, Maintenance &amp; Database Pruning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Mifos tenant loan schedule and accounting ledger state managed by Fineract engine.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Apache Fineract CE Core Lending Ledger Detail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Mifos tenant loan schedule and accounting ledger state managed by Fineract engine.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CE Patching &amp; Maintenance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Maintenance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DOC-01-ARCH-02</w:t>
            </w:r>
            <w:r>
              <w:rPr>
                <w:rFonts w:ascii="Segoe UI" w:hAnsi="Segoe UI"/>
                <w:color w:val="2D3748"/>
                <w:sz w:val="17"/>
              </w:rPr>
              <w:t xml:space="preserve"> → Apache Fineract Community Edition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Upstream Patch Ingestion Workflow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ULMS integrates with Apache Fineract CE as a core lending ledger engine. Upstream security and bug fixes are backported quarterly: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Review Apache security advisories (CVEs).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Fetch release tags from Apache Fineract Git repository.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 xml:space="preserve">Verify backward-compatibility of Fineract REST endpoints used by </w:t>
      </w:r>
      <w:r>
        <w:rPr>
          <w:rFonts w:ascii="Consolas" w:hAnsi="Consolas"/>
          <w:color w:val="801515"/>
          <w:sz w:val="18"/>
        </w:rPr>
        <w:t>FineractPort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FineractLoanPort</w:t>
      </w:r>
      <w:r>
        <w:rPr>
          <w:rFonts w:ascii="Segoe UI" w:hAnsi="Segoe UI"/>
          <w:color w:val="2D3748"/>
          <w:sz w:val="19"/>
        </w:rPr>
        <w:t xml:space="preserve">, and </w:t>
      </w:r>
      <w:r>
        <w:rPr>
          <w:rFonts w:ascii="Consolas" w:hAnsi="Consolas"/>
          <w:color w:val="801515"/>
          <w:sz w:val="18"/>
        </w:rPr>
        <w:t>FineractJournalPort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color w:val="2D3748"/>
          <w:sz w:val="19"/>
        </w:rPr>
        <w:t>Deploy container image update to UAT staging cluster before production rollout.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Database Bloat Pruning &amp; Vacuum Cadence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Database performance metrics following table vacuum and batch execution log pruning.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om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Batch Scheduler Synchronization &amp; Vacuum Health Monitor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Database performance metrics following table vacuum and batch execution log pruning.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Fineract generates extensive batch job history and transaction logs: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>-- Monthly vacuum and analyze on high-churn Fineract tables</w:t>
              <w:br/>
              <w:t>VACUUM (ANALYZE, VERBOSE) fineract_default.m_loan_transaction;</w:t>
              <w:br/>
              <w:t>VACUUM (ANALYZE, VERBOSE) fineract_default.scheduled_job_details (verify vs Fineract CE Quartz schema);</w:t>
              <w:br/>
              <w:br/>
              <w:t>-- Purge stale batch execution logs older than 180 days</w:t>
              <w:br/>
              <w:t xml:space="preserve">DELETE FROM fineract_default.scheduled_job_details (verify vs Fineract CE Quartz schema) </w:t>
              <w:br/>
              <w:t>WHERE start_time &lt; NOW() - INTERVAL '180 days';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1638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_endpoin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16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Core Banking Bridge REST API Integration Contract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Verified endpoint compatibility ensuring zero contract breakage during Fineract upgrades.</w:t>
      </w:r>
    </w:p>
    <w:p>
      <w:r>
        <w:rPr>
          <w:b/>
        </w:rPr>
        <w:t>Addendum — v3.1.0 corrections (Independent Forensic Re-audit, 8 October 2026)</w:t>
      </w:r>
    </w:p>
    <w:p>
      <w:r>
        <w:t>Patching posture (v3.1.0): the deployment pins apache/fineract@fd01236df6 (immutable digest). Upstream latest stable line is 1.15.0 (1.16 in snapshot) as of October 2026; quarterly digest refresh applies security backports — note CVE-2026-56287 (SQL injection, client search API) when scheduling the next refresh. Update via FINERACT_IMAGE in deploy/compose/.env or the Helm values; run FineractContractTest after every refresh; back up the fineract_default schema first.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DOC-03-MNT-04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