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DOC-03-MNT-07: Enterprise SSL/TLS Certificate Lifecycle Management &amp; mTLS Renewal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ssl_tls_cert_lifecycle_mtls_renewal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security_engineer, network_admin]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DOC-03-MNT-07: Enterprise SSL/TLS Certificate Lifecycle Management &amp; mTLS Renewal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Encrypted transport topology connecting edge ingress, application pods, and core banking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Mutual TLS (mTLS) Mesh &amp; Enterprise Certificate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Encrypted transport topology connecting edge ingress, application pods, and core banking systems.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SSL/TLS Lifecycle Management &amp; mTLS Renewal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Operations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§3.2 → TLS 1.3 Mandate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Certificate Topology &amp; Standards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Strong cipher suite enforcement adhering to Bangladesh Bank ICT Security Guidelines.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TLS 1.3 Secure Login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Strong cipher suite enforcement adhering to Bangladesh Bank ICT Security Guidelines.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Edge Ingress:</w:t>
      </w:r>
      <w:r>
        <w:rPr>
          <w:rFonts w:ascii="Segoe UI" w:hAnsi="Segoe UI"/>
          <w:color w:val="2D3748"/>
          <w:sz w:val="19"/>
        </w:rPr>
        <w:t xml:space="preserve"> TLS 1.3 only, ECDHE-ECDSA/RSA cipher suites.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Service-to-Service (East-West):</w:t>
      </w:r>
      <w:r>
        <w:rPr>
          <w:rFonts w:ascii="Segoe UI" w:hAnsi="Segoe UI"/>
          <w:color w:val="2D3748"/>
          <w:sz w:val="19"/>
        </w:rPr>
        <w:t xml:space="preserve"> Mutual TLS (mTLS) with internal Bank Subordinate CA.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Core Banking Connectors:</w:t>
      </w:r>
      <w:r>
        <w:rPr>
          <w:rFonts w:ascii="Segoe UI" w:hAnsi="Segoe UI"/>
          <w:color w:val="2D3748"/>
          <w:sz w:val="19"/>
        </w:rPr>
        <w:t xml:space="preserve"> Hardware Security Module (HSM) or Bank Root CA signed certificates.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Automated Renewal via cert-manager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Automated SSL certificate verification across all banking subsystem hostnames.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Secure HTTPS Edge Endpoint Directory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SSL certificate verification across all banking subsystem hostnames.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Kubernetes/k3s deployments, certificates are managed automatically via </w:t>
      </w:r>
      <w:r>
        <w:rPr>
          <w:rFonts w:ascii="Consolas" w:hAnsi="Consolas"/>
          <w:color w:val="801515"/>
          <w:sz w:val="18"/>
        </w:rPr>
        <w:t>cert-manager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apiVersion: cert-manager.io/v1</w:t>
              <w:br/>
              <w:t>kind: Certificate</w:t>
              <w:br/>
              <w:t>metadata:</w:t>
              <w:br/>
              <w:t xml:space="preserve">  name: ulms-ingress-cert</w:t>
              <w:br/>
              <w:t xml:space="preserve">  namespace: ulms-prod</w:t>
              <w:br/>
              <w:t>spec:</w:t>
              <w:br/>
              <w:t xml:space="preserve">  secretName: ulms-tls-secret</w:t>
              <w:br/>
              <w:t xml:space="preserve">  issuerRef:</w:t>
              <w:br/>
              <w:t xml:space="preserve">    name: bank-internal-ca-issuer</w:t>
              <w:br/>
              <w:t xml:space="preserve">    kind: ClusterIssuer</w:t>
              <w:br/>
              <w:t xml:space="preserve">  dnsNames:</w:t>
              <w:br/>
              <w:t xml:space="preserve">  - lms.bank.local</w:t>
              <w:br/>
              <w:t xml:space="preserve">  - api.lms.bank.local</w:t>
              <w:br/>
              <w:t xml:space="preserve">  renewBefore: 360h # 15 days prior to expiry</w:t>
            </w:r>
          </w:p>
        </w:tc>
      </w:tr>
    </w:tbl>
    <w:p>
      <w:pPr>
        <w:spacing w:before="40" w:after="80"/>
      </w:pPr>
    </w:p>
    <w:p>
      <w:r>
        <w:rPr>
          <w:b/>
        </w:rPr>
        <w:t>Addendum — v3.1.0 corrections (Independent Forensic Re-audit, 8 October 2026)</w:t>
      </w:r>
    </w:p>
    <w:p>
      <w:r>
        <w:t>Expansion pending (flagged by the forensic re-audit): this runbook currently covers topology + cert-manager renewal only; keystore/truststore rotation, expiry monitoring/alerting, and mTLS client-cert rollover procedures are required before operational use.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