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04 DEPLOYMENT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DOC-04-DEP-02: Production Helm Charts &amp; Kubernetes Resource Sizing Specification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DOC-04-DEP-02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reference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helm_charts_k8s_resource_sizing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[devops, cloud_architect, sre]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DOC-04-DEP-02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DOC-04-DEP-02: Production Helm Charts &amp; Kubernetes Resource Sizing Specification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Resource allocation blueprint for small, medium, and tier-1 commercial bank deployments.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33440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_topolog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334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Kubernetes Cluster Architecture &amp; Resource Sizing Layout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Resource allocation blueprint for small, medium, and tier-1 commercial bank deployments.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Helm Charts &amp; Kubernetes Resource Sizing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DevOps &amp; Infrastructure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DOC-04-DEP-01</w:t>
            </w:r>
            <w:r>
              <w:rPr>
                <w:rFonts w:ascii="Segoe UI" w:hAnsi="Segoe UI"/>
                <w:color w:val="2D3748"/>
                <w:sz w:val="17"/>
              </w:rPr>
              <w:t xml:space="preserve"> → Kubernetes 1.28+ Best Practices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Resource Sizing Matrix for Scheduled Commercial Banks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</w:trPr>
        <w:tc>
          <w:tcPr>
            <w:tcW w:type="dxa" w:w="1337"/>
            <w:tcW w:w="133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Tier</w:t>
            </w:r>
          </w:p>
        </w:tc>
        <w:tc>
          <w:tcPr>
            <w:tcW w:type="dxa" w:w="1337"/>
            <w:tcW w:w="133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Concurrent Users</w:t>
            </w:r>
          </w:p>
        </w:tc>
        <w:tc>
          <w:tcPr>
            <w:tcW w:type="dxa" w:w="1337"/>
            <w:tcW w:w="133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Active Loans</w:t>
            </w:r>
          </w:p>
        </w:tc>
        <w:tc>
          <w:tcPr>
            <w:tcW w:type="dxa" w:w="1337"/>
            <w:tcW w:w="133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API Replicas</w:t>
            </w:r>
          </w:p>
        </w:tc>
        <w:tc>
          <w:tcPr>
            <w:tcW w:type="dxa" w:w="1337"/>
            <w:tcW w:w="133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CPU (Req/Limit)</w:t>
            </w:r>
          </w:p>
        </w:tc>
        <w:tc>
          <w:tcPr>
            <w:tcW w:type="dxa" w:w="1337"/>
            <w:tcW w:w="133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RAM (Req/Limit)</w:t>
            </w:r>
          </w:p>
        </w:tc>
        <w:tc>
          <w:tcPr>
            <w:tcW w:type="dxa" w:w="1337"/>
            <w:tcW w:w="133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DB Specs</w:t>
            </w:r>
          </w:p>
        </w:tc>
      </w:tr>
      <w:tr>
        <w:trPr>
          <w:cantSplit/>
        </w:trPr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Small Bank</w:t>
            </w:r>
          </w:p>
        </w:tc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100 - 300</w:t>
            </w:r>
          </w:p>
        </w:tc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&lt; 25,000</w:t>
            </w:r>
          </w:p>
        </w:tc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</w:t>
            </w:r>
          </w:p>
        </w:tc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1000m / 2000m</w:t>
            </w:r>
          </w:p>
        </w:tc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2Gi / 4Gi</w:t>
            </w:r>
          </w:p>
        </w:tc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 vCPU, 16GB RAM</w:t>
            </w:r>
          </w:p>
        </w:tc>
      </w:tr>
      <w:tr>
        <w:trPr>
          <w:cantSplit/>
        </w:trPr>
        <w:tc>
          <w:tcPr>
            <w:tcW w:type="dxa" w:w="1337"/>
            <w:tcW w:w="133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Medium Bank</w:t>
            </w:r>
          </w:p>
        </w:tc>
        <w:tc>
          <w:tcPr>
            <w:tcW w:type="dxa" w:w="1337"/>
            <w:tcW w:w="133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300 - 1,000</w:t>
            </w:r>
          </w:p>
        </w:tc>
        <w:tc>
          <w:tcPr>
            <w:tcW w:type="dxa" w:w="1337"/>
            <w:tcW w:w="133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25,000 - 100,000</w:t>
            </w:r>
          </w:p>
        </w:tc>
        <w:tc>
          <w:tcPr>
            <w:tcW w:type="dxa" w:w="1337"/>
            <w:tcW w:w="133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</w:t>
            </w:r>
          </w:p>
        </w:tc>
        <w:tc>
          <w:tcPr>
            <w:tcW w:type="dxa" w:w="1337"/>
            <w:tcW w:w="133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2000m / 4000m</w:t>
            </w:r>
          </w:p>
        </w:tc>
        <w:tc>
          <w:tcPr>
            <w:tcW w:type="dxa" w:w="1337"/>
            <w:tcW w:w="133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4Gi / 8Gi</w:t>
            </w:r>
          </w:p>
        </w:tc>
        <w:tc>
          <w:tcPr>
            <w:tcW w:type="dxa" w:w="1337"/>
            <w:tcW w:w="133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8 vCPU, 32GB RAM</w:t>
            </w:r>
          </w:p>
        </w:tc>
      </w:tr>
      <w:tr>
        <w:trPr>
          <w:cantSplit/>
        </w:trPr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Tier-1 Bank</w:t>
            </w:r>
          </w:p>
        </w:tc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1,000 - 5,000</w:t>
            </w:r>
          </w:p>
        </w:tc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&gt; 100,000</w:t>
            </w:r>
          </w:p>
        </w:tc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8</w:t>
            </w:r>
          </w:p>
        </w:tc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4000m / 8000m</w:t>
            </w:r>
          </w:p>
        </w:tc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8Gi / 16Gi</w:t>
            </w:r>
          </w:p>
        </w:tc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16 vCPU, 64GB RAM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Horizontal Pod Autoscaler (HPA) Policy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Real-time CPU and memory metrics guiding Horizontal Pod Autoscaling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1_hom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Production Host Node Telemetry &amp; Pod Utilization Dashboard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Real-time CPU and memory metrics guiding Horizontal Pod Autoscaling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yaml</w:t>
              <w:br/>
            </w:r>
            <w:r>
              <w:rPr>
                <w:rFonts w:ascii="Consolas" w:hAnsi="Consolas"/>
                <w:color w:val="1A202C"/>
                <w:sz w:val="17"/>
              </w:rPr>
              <w:t>apiVersion: autoscaling/v2</w:t>
              <w:br/>
              <w:t>kind: HorizontalPodAutoscaler</w:t>
              <w:br/>
              <w:t>metadata:</w:t>
              <w:br/>
              <w:t xml:space="preserve">  name: ulms-api-hpa</w:t>
              <w:br/>
              <w:t xml:space="preserve">  namespace: ulms-prod</w:t>
              <w:br/>
              <w:t>spec:</w:t>
              <w:br/>
              <w:t xml:space="preserve">  scaleTargetRef:</w:t>
              <w:br/>
              <w:t xml:space="preserve">    apiVersion: apps/v1</w:t>
              <w:br/>
              <w:t xml:space="preserve">    kind: Deployment</w:t>
              <w:br/>
              <w:t xml:space="preserve">    name: ulms-api</w:t>
              <w:br/>
              <w:t xml:space="preserve">  minReplicas: 3</w:t>
              <w:br/>
              <w:t xml:space="preserve">  maxReplicas: 12</w:t>
              <w:br/>
              <w:t xml:space="preserve">  metrics:</w:t>
              <w:br/>
              <w:t xml:space="preserve">  - type: Resource</w:t>
              <w:br/>
              <w:t xml:space="preserve">    resource:</w:t>
              <w:br/>
              <w:t xml:space="preserve">      name: cpu</w:t>
              <w:br/>
              <w:t xml:space="preserve">      target:</w:t>
              <w:br/>
              <w:t xml:space="preserve">        type: Utilization</w:t>
              <w:br/>
              <w:t xml:space="preserve">        averageUtilization: 70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selftes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Cluster Readiness Verification &amp; Container Probe Harness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Liveness and readiness probe verification ensuring zero traffic routing to unready pods.</w:t>
      </w:r>
    </w:p>
    <w:p>
      <w:r>
        <w:rPr>
          <w:b/>
        </w:rPr>
        <w:t>Addendum — v3.1.0 corrections (Independent Forensic Re-audit, 8 October 2026)</w:t>
      </w:r>
    </w:p>
    <w:p>
      <w:r>
        <w:t>Expansion pending (flagged): add the values.yaml parameter matrix from deploy/chart/ulms/values.yaml, chart structure, and helm lint/template verification; reconcile the sample HPA floor (minReplicas 3) with the Small-Bank sizing row (2 replicas).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DOC-04-DEP-02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